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C42" w:rsidRPr="00C12D7B" w:rsidRDefault="00994C42" w:rsidP="00233480">
      <w:pPr>
        <w:pStyle w:val="Titre"/>
      </w:pPr>
      <w:bookmarkStart w:id="0" w:name="_GoBack"/>
      <w:bookmarkEnd w:id="0"/>
      <w:r w:rsidRPr="00C12D7B">
        <w:t xml:space="preserve">Policy Note </w:t>
      </w:r>
      <w:r w:rsidR="00B95516" w:rsidRPr="00C12D7B">
        <w:t>DCFTA</w:t>
      </w:r>
      <w:r w:rsidRPr="00C12D7B">
        <w:t xml:space="preserve"> Tunisia </w:t>
      </w:r>
    </w:p>
    <w:p w:rsidR="00994C42" w:rsidRPr="00C12D7B" w:rsidRDefault="00994C42" w:rsidP="00994C42"/>
    <w:p w:rsidR="00994C42" w:rsidRPr="00C12D7B" w:rsidRDefault="00994C42" w:rsidP="00994C42">
      <w:pPr>
        <w:rPr>
          <w:color w:val="5CA038"/>
        </w:rPr>
      </w:pPr>
      <w:r w:rsidRPr="00C12D7B">
        <w:rPr>
          <w:color w:val="5CA038"/>
        </w:rPr>
        <w:t xml:space="preserve">A </w:t>
      </w:r>
      <w:r w:rsidR="00BF285D" w:rsidRPr="00C12D7B">
        <w:rPr>
          <w:color w:val="5CA038"/>
        </w:rPr>
        <w:t xml:space="preserve">deep and </w:t>
      </w:r>
      <w:r w:rsidRPr="00C12D7B">
        <w:rPr>
          <w:color w:val="5CA038"/>
        </w:rPr>
        <w:t>comprehensive free trade agreement (</w:t>
      </w:r>
      <w:r w:rsidR="00B95516" w:rsidRPr="00C12D7B">
        <w:rPr>
          <w:color w:val="5CA038"/>
        </w:rPr>
        <w:t>DCFTA</w:t>
      </w:r>
      <w:r w:rsidRPr="00C12D7B">
        <w:rPr>
          <w:color w:val="5CA038"/>
        </w:rPr>
        <w:t>) is currently being negotiated between Tunisia and the European Union (EU). It aims to increase trade between Tunisia and the EU</w:t>
      </w:r>
      <w:r w:rsidR="00E84CC5" w:rsidRPr="00C12D7B">
        <w:rPr>
          <w:color w:val="5CA038"/>
        </w:rPr>
        <w:t>, and is said to be better</w:t>
      </w:r>
      <w:r w:rsidRPr="00C12D7B">
        <w:rPr>
          <w:color w:val="5CA038"/>
        </w:rPr>
        <w:t xml:space="preserve"> adapted to the democratic transition and economic reconstruction </w:t>
      </w:r>
      <w:r w:rsidR="00E1160A" w:rsidRPr="00C12D7B">
        <w:rPr>
          <w:color w:val="5CA038"/>
        </w:rPr>
        <w:t>of</w:t>
      </w:r>
      <w:r w:rsidRPr="00C12D7B">
        <w:rPr>
          <w:color w:val="5CA038"/>
        </w:rPr>
        <w:t xml:space="preserve"> Tunisia</w:t>
      </w:r>
      <w:r w:rsidR="00E84CC5" w:rsidRPr="00C12D7B">
        <w:rPr>
          <w:color w:val="5CA038"/>
        </w:rPr>
        <w:t>. However, it seems such an agreement would</w:t>
      </w:r>
      <w:r w:rsidRPr="00C12D7B">
        <w:rPr>
          <w:color w:val="5CA038"/>
        </w:rPr>
        <w:t xml:space="preserve"> only deepen the trade openness</w:t>
      </w:r>
      <w:r w:rsidR="00E1160A" w:rsidRPr="00C12D7B">
        <w:rPr>
          <w:color w:val="5CA038"/>
        </w:rPr>
        <w:t xml:space="preserve"> approach</w:t>
      </w:r>
      <w:r w:rsidRPr="00C12D7B">
        <w:rPr>
          <w:color w:val="5CA038"/>
        </w:rPr>
        <w:t xml:space="preserve"> </w:t>
      </w:r>
      <w:r w:rsidR="00E1160A" w:rsidRPr="00C12D7B">
        <w:rPr>
          <w:color w:val="5CA038"/>
        </w:rPr>
        <w:t>begun with</w:t>
      </w:r>
      <w:r w:rsidRPr="00C12D7B">
        <w:rPr>
          <w:color w:val="5CA038"/>
        </w:rPr>
        <w:t xml:space="preserve"> the Association Agreement (AA)</w:t>
      </w:r>
      <w:r w:rsidR="00E1160A" w:rsidRPr="00C12D7B">
        <w:rPr>
          <w:color w:val="5CA038"/>
        </w:rPr>
        <w:t>. N</w:t>
      </w:r>
      <w:r w:rsidRPr="00C12D7B">
        <w:rPr>
          <w:color w:val="5CA038"/>
        </w:rPr>
        <w:t>egotiated with the Ben Ali dictators</w:t>
      </w:r>
      <w:r w:rsidR="00B95516" w:rsidRPr="00C12D7B">
        <w:rPr>
          <w:color w:val="5CA038"/>
        </w:rPr>
        <w:t xml:space="preserve">hip, </w:t>
      </w:r>
      <w:r w:rsidR="00E1160A" w:rsidRPr="00C12D7B">
        <w:rPr>
          <w:color w:val="5CA038"/>
        </w:rPr>
        <w:t>it</w:t>
      </w:r>
      <w:r w:rsidR="00B95516" w:rsidRPr="00C12D7B">
        <w:rPr>
          <w:color w:val="5CA038"/>
        </w:rPr>
        <w:t xml:space="preserve"> had been criticiz</w:t>
      </w:r>
      <w:r w:rsidRPr="00C12D7B">
        <w:rPr>
          <w:color w:val="5CA038"/>
        </w:rPr>
        <w:t>ed by both trade unions and employers</w:t>
      </w:r>
      <w:r w:rsidR="00E1160A" w:rsidRPr="00C12D7B">
        <w:rPr>
          <w:color w:val="5CA038"/>
        </w:rPr>
        <w:t xml:space="preserve"> at the time</w:t>
      </w:r>
      <w:r w:rsidR="00B95516" w:rsidRPr="00C12D7B">
        <w:rPr>
          <w:rStyle w:val="Appelnotedebasdep"/>
          <w:color w:val="5CA038"/>
        </w:rPr>
        <w:footnoteReference w:id="1"/>
      </w:r>
      <w:r w:rsidRPr="00C12D7B">
        <w:rPr>
          <w:color w:val="5CA038"/>
        </w:rPr>
        <w:t xml:space="preserve">. </w:t>
      </w:r>
      <w:r w:rsidR="00E1160A" w:rsidRPr="00C12D7B">
        <w:rPr>
          <w:color w:val="5CA038"/>
        </w:rPr>
        <w:t>T</w:t>
      </w:r>
      <w:r w:rsidRPr="00C12D7B">
        <w:rPr>
          <w:color w:val="5CA038"/>
        </w:rPr>
        <w:t xml:space="preserve">he negotiation of a new </w:t>
      </w:r>
      <w:r w:rsidR="00B95516" w:rsidRPr="00C12D7B">
        <w:rPr>
          <w:color w:val="5CA038"/>
        </w:rPr>
        <w:t>deep</w:t>
      </w:r>
      <w:r w:rsidR="00E84CC5" w:rsidRPr="00C12D7B">
        <w:rPr>
          <w:color w:val="5CA038"/>
        </w:rPr>
        <w:t xml:space="preserve"> and comprehensive</w:t>
      </w:r>
      <w:r w:rsidRPr="00C12D7B">
        <w:rPr>
          <w:color w:val="5CA038"/>
        </w:rPr>
        <w:t xml:space="preserve"> agreement may represent an opportunity for some sectors, </w:t>
      </w:r>
      <w:r w:rsidR="00E1160A" w:rsidRPr="00C12D7B">
        <w:rPr>
          <w:color w:val="5CA038"/>
        </w:rPr>
        <w:t xml:space="preserve">but </w:t>
      </w:r>
      <w:r w:rsidRPr="00C12D7B">
        <w:rPr>
          <w:color w:val="5CA038"/>
        </w:rPr>
        <w:t xml:space="preserve">this policy note highlights </w:t>
      </w:r>
      <w:r w:rsidR="00E1160A" w:rsidRPr="00C12D7B">
        <w:rPr>
          <w:color w:val="5CA038"/>
        </w:rPr>
        <w:t xml:space="preserve">its </w:t>
      </w:r>
      <w:r w:rsidRPr="00C12D7B">
        <w:rPr>
          <w:color w:val="5CA038"/>
        </w:rPr>
        <w:t xml:space="preserve">risks, calls for a prior assessment of the AA and an independent impact assessment of </w:t>
      </w:r>
      <w:r w:rsidR="00B95516" w:rsidRPr="00C12D7B">
        <w:rPr>
          <w:color w:val="5CA038"/>
        </w:rPr>
        <w:t>the DCFTA</w:t>
      </w:r>
      <w:r w:rsidRPr="00C12D7B">
        <w:rPr>
          <w:color w:val="5CA038"/>
        </w:rPr>
        <w:t xml:space="preserve">, and makes recommendations for an agreement consistent with </w:t>
      </w:r>
      <w:r w:rsidR="00B95516" w:rsidRPr="00C12D7B">
        <w:rPr>
          <w:color w:val="5CA038"/>
        </w:rPr>
        <w:t>the Sustainable D</w:t>
      </w:r>
      <w:r w:rsidRPr="00C12D7B">
        <w:rPr>
          <w:color w:val="5CA038"/>
        </w:rPr>
        <w:t xml:space="preserve">evelopment </w:t>
      </w:r>
      <w:r w:rsidR="00B95516" w:rsidRPr="00C12D7B">
        <w:rPr>
          <w:color w:val="5CA038"/>
        </w:rPr>
        <w:t>Goals (SDGs)</w:t>
      </w:r>
      <w:r w:rsidRPr="00C12D7B">
        <w:rPr>
          <w:color w:val="5CA038"/>
        </w:rPr>
        <w:t xml:space="preserve">. </w:t>
      </w:r>
    </w:p>
    <w:p w:rsidR="00233480" w:rsidRPr="00C12D7B" w:rsidRDefault="00233480" w:rsidP="00233480">
      <w:r w:rsidRPr="00C12D7B">
        <w:t xml:space="preserve">Seven years after the revolution, social protest is rising, especially in the most </w:t>
      </w:r>
      <w:r w:rsidR="004A2F94" w:rsidRPr="00C12D7B">
        <w:t xml:space="preserve">vulnerable </w:t>
      </w:r>
      <w:r w:rsidRPr="00C12D7B">
        <w:t xml:space="preserve">regions </w:t>
      </w:r>
      <w:r w:rsidR="00B95516" w:rsidRPr="00C12D7B">
        <w:t>inside</w:t>
      </w:r>
      <w:r w:rsidRPr="00C12D7B">
        <w:t xml:space="preserve"> Tunisia</w:t>
      </w:r>
      <w:r w:rsidR="00B95516" w:rsidRPr="00C12D7B">
        <w:rPr>
          <w:rStyle w:val="Appelnotedebasdep"/>
        </w:rPr>
        <w:footnoteReference w:id="2"/>
      </w:r>
      <w:r w:rsidRPr="00C12D7B">
        <w:t xml:space="preserve">. Following the Arab revolutions, the EU </w:t>
      </w:r>
      <w:r w:rsidR="00E1160A" w:rsidRPr="00C12D7B">
        <w:t>expressed its will</w:t>
      </w:r>
      <w:r w:rsidRPr="00C12D7B">
        <w:t xml:space="preserve"> to adapt </w:t>
      </w:r>
      <w:r w:rsidR="00E1160A" w:rsidRPr="00C12D7B">
        <w:t xml:space="preserve">its policy </w:t>
      </w:r>
      <w:r w:rsidRPr="00C12D7B">
        <w:t>to the new southern Mediterranean contexts and challenges. The new European Neighbourhood Policy (ENP)</w:t>
      </w:r>
      <w:r w:rsidR="00E1160A" w:rsidRPr="00C12D7B">
        <w:t>,</w:t>
      </w:r>
      <w:r w:rsidRPr="00C12D7B">
        <w:t xml:space="preserve"> </w:t>
      </w:r>
      <w:r w:rsidR="00E1160A" w:rsidRPr="00C12D7B">
        <w:t xml:space="preserve">unveiled </w:t>
      </w:r>
      <w:r w:rsidRPr="00C12D7B">
        <w:t>in 2015</w:t>
      </w:r>
      <w:r w:rsidR="00E1160A" w:rsidRPr="00C12D7B">
        <w:t>, claims to</w:t>
      </w:r>
      <w:r w:rsidRPr="00C12D7B">
        <w:t xml:space="preserve"> offer</w:t>
      </w:r>
      <w:r w:rsidR="00E1160A" w:rsidRPr="00C12D7B">
        <w:t xml:space="preserve"> a tailor</w:t>
      </w:r>
      <w:r w:rsidR="0012130B" w:rsidRPr="00C12D7B">
        <w:t>-made</w:t>
      </w:r>
      <w:r w:rsidR="00E1160A" w:rsidRPr="00C12D7B">
        <w:t xml:space="preserve"> partnership </w:t>
      </w:r>
      <w:r w:rsidR="00B95516" w:rsidRPr="00C12D7B">
        <w:t xml:space="preserve">to </w:t>
      </w:r>
      <w:r w:rsidRPr="00C12D7B">
        <w:t>each partner</w:t>
      </w:r>
      <w:r w:rsidR="00E1160A" w:rsidRPr="00C12D7B">
        <w:t>,</w:t>
      </w:r>
      <w:r w:rsidRPr="00C12D7B">
        <w:t xml:space="preserve"> adapted to its willingness to engage with the EU and on the path of democratic transition</w:t>
      </w:r>
      <w:r w:rsidR="00DB69E2" w:rsidRPr="00C12D7B">
        <w:t>. A</w:t>
      </w:r>
      <w:r w:rsidRPr="00C12D7B">
        <w:t xml:space="preserve">ccording to </w:t>
      </w:r>
      <w:r w:rsidR="00DB69E2" w:rsidRPr="00C12D7B">
        <w:t>the "more for more" principle,</w:t>
      </w:r>
      <w:r w:rsidR="0012130B" w:rsidRPr="00C12D7B">
        <w:t xml:space="preserve"> the</w:t>
      </w:r>
      <w:r w:rsidR="00DB69E2" w:rsidRPr="00C12D7B">
        <w:t xml:space="preserve"> p</w:t>
      </w:r>
      <w:r w:rsidRPr="00C12D7B">
        <w:t xml:space="preserve">artnership with the EU can be strengthened as reforms are put in place. </w:t>
      </w:r>
      <w:r w:rsidR="0012130B" w:rsidRPr="00C12D7B">
        <w:t>A c</w:t>
      </w:r>
      <w:r w:rsidRPr="00C12D7B">
        <w:t xml:space="preserve">entral tool of this new ENP: the </w:t>
      </w:r>
      <w:r w:rsidR="00B95516" w:rsidRPr="00C12D7B">
        <w:t>DCFTA</w:t>
      </w:r>
      <w:r w:rsidRPr="00C12D7B">
        <w:t xml:space="preserve">s, proposed to Morocco and Tunisia in the first place. They aim to </w:t>
      </w:r>
      <w:r w:rsidR="00DB69E2" w:rsidRPr="00C12D7B">
        <w:t>liberaliz</w:t>
      </w:r>
      <w:r w:rsidR="00E1160A" w:rsidRPr="00C12D7B">
        <w:t>e</w:t>
      </w:r>
      <w:r w:rsidRPr="00C12D7B">
        <w:t xml:space="preserve"> new sectors (agriculture, services, investment, public procurement), but also to deepen </w:t>
      </w:r>
      <w:r w:rsidR="00E1160A" w:rsidRPr="00C12D7B">
        <w:t xml:space="preserve">trade </w:t>
      </w:r>
      <w:r w:rsidRPr="00C12D7B">
        <w:t xml:space="preserve">by eliminating "non-tariff barriers" to trade and by </w:t>
      </w:r>
      <w:r w:rsidR="00DB69E2" w:rsidRPr="00C12D7B">
        <w:t>organizing</w:t>
      </w:r>
      <w:r w:rsidRPr="00C12D7B">
        <w:t xml:space="preserve"> regulatory cooperation. </w:t>
      </w:r>
      <w:r w:rsidR="000078A2" w:rsidRPr="00C12D7B">
        <w:t xml:space="preserve">However, </w:t>
      </w:r>
      <w:r w:rsidRPr="00C12D7B">
        <w:t xml:space="preserve">what the EU presents as an offer adapted to the new regional context is only the continuation of the approach already </w:t>
      </w:r>
      <w:r w:rsidR="000078A2" w:rsidRPr="00C12D7B">
        <w:t xml:space="preserve">used </w:t>
      </w:r>
      <w:r w:rsidRPr="00C12D7B">
        <w:t>in the</w:t>
      </w:r>
      <w:r w:rsidR="000078A2" w:rsidRPr="00C12D7B">
        <w:t xml:space="preserve"> 1990s</w:t>
      </w:r>
      <w:r w:rsidRPr="00C12D7B">
        <w:t xml:space="preserve"> Association Agreements (AA).  </w:t>
      </w:r>
      <w:r w:rsidR="000078A2" w:rsidRPr="00C12D7B">
        <w:t xml:space="preserve">Besides, </w:t>
      </w:r>
      <w:r w:rsidR="00B95516" w:rsidRPr="00C12D7B">
        <w:t>DCFTA</w:t>
      </w:r>
      <w:r w:rsidR="000078A2" w:rsidRPr="00C12D7B">
        <w:t xml:space="preserve">s are standard agreements and belong to </w:t>
      </w:r>
      <w:r w:rsidRPr="00C12D7B">
        <w:t>the so-called "WTO+</w:t>
      </w:r>
      <w:r w:rsidR="00DB69E2" w:rsidRPr="00C12D7B">
        <w:rPr>
          <w:rStyle w:val="Appelnotedebasdep"/>
        </w:rPr>
        <w:footnoteReference w:id="3"/>
      </w:r>
      <w:r w:rsidRPr="00C12D7B">
        <w:t>" model</w:t>
      </w:r>
      <w:r w:rsidR="000078A2" w:rsidRPr="00C12D7B">
        <w:t xml:space="preserve"> the EU aims to impose. It has notably </w:t>
      </w:r>
      <w:r w:rsidRPr="00C12D7B">
        <w:t>signed</w:t>
      </w:r>
      <w:r w:rsidR="000078A2" w:rsidRPr="00C12D7B">
        <w:t xml:space="preserve"> such an agreement</w:t>
      </w:r>
      <w:r w:rsidRPr="00C12D7B">
        <w:t xml:space="preserve"> with Canada (CETA) and </w:t>
      </w:r>
      <w:r w:rsidR="000078A2" w:rsidRPr="00C12D7B">
        <w:t xml:space="preserve">is </w:t>
      </w:r>
      <w:r w:rsidRPr="00C12D7B">
        <w:t>in negotiations with countries o</w:t>
      </w:r>
      <w:r w:rsidR="000078A2" w:rsidRPr="00C12D7B">
        <w:t>f</w:t>
      </w:r>
      <w:r w:rsidRPr="00C12D7B">
        <w:t xml:space="preserve"> all continents. It is therefore inappropriate to </w:t>
      </w:r>
      <w:r w:rsidR="0012130B" w:rsidRPr="00C12D7B">
        <w:t xml:space="preserve">consider it </w:t>
      </w:r>
      <w:r w:rsidRPr="00C12D7B">
        <w:t xml:space="preserve">about a </w:t>
      </w:r>
      <w:r w:rsidR="000078A2" w:rsidRPr="00C12D7B">
        <w:t>tailor</w:t>
      </w:r>
      <w:r w:rsidR="0012130B" w:rsidRPr="00C12D7B">
        <w:t>-made</w:t>
      </w:r>
      <w:r w:rsidR="00C12D7B">
        <w:t xml:space="preserve"> </w:t>
      </w:r>
      <w:r w:rsidRPr="00C12D7B">
        <w:t>partnership</w:t>
      </w:r>
      <w:r w:rsidR="000078A2" w:rsidRPr="00C12D7B">
        <w:t xml:space="preserve"> for Tunisia</w:t>
      </w:r>
      <w:r w:rsidRPr="00C12D7B">
        <w:t>.</w:t>
      </w:r>
    </w:p>
    <w:p w:rsidR="00233480" w:rsidRPr="00C12D7B" w:rsidRDefault="00233480" w:rsidP="00233480">
      <w:pPr>
        <w:pStyle w:val="Titre1"/>
      </w:pPr>
      <w:r w:rsidRPr="00C12D7B">
        <w:t>An extension of the Association Agreement</w:t>
      </w:r>
    </w:p>
    <w:p w:rsidR="00994C42" w:rsidRPr="00C12D7B" w:rsidRDefault="00233480" w:rsidP="00233480">
      <w:r w:rsidRPr="00C12D7B">
        <w:t>Some of the potential impacts of</w:t>
      </w:r>
      <w:r w:rsidR="00DB69E2" w:rsidRPr="00C12D7B">
        <w:t xml:space="preserve"> the</w:t>
      </w:r>
      <w:r w:rsidRPr="00C12D7B">
        <w:t xml:space="preserve"> </w:t>
      </w:r>
      <w:r w:rsidR="00B95516" w:rsidRPr="00C12D7B">
        <w:t>DCFTA</w:t>
      </w:r>
      <w:r w:rsidRPr="00C12D7B">
        <w:t xml:space="preserve"> on the socio-economic situation in Tunisia can be assessed </w:t>
      </w:r>
      <w:r w:rsidR="00DB69E2" w:rsidRPr="00C12D7B">
        <w:t>in the light of</w:t>
      </w:r>
      <w:r w:rsidRPr="00C12D7B">
        <w:t xml:space="preserve"> the expectations and achievements of the EU-Tunisia AA. Concluded in 1995, the latter aimed, according to its promoters, to open the European market to Tunisian industrial products, to increase economic growth, to allow Tunisia to take a better place in globalized value chains, to attract more foreign direct investment (FDI) and to reduce </w:t>
      </w:r>
      <w:r w:rsidR="00DB69E2" w:rsidRPr="00C12D7B">
        <w:t>external</w:t>
      </w:r>
      <w:r w:rsidRPr="00C12D7B">
        <w:t xml:space="preserve"> debt</w:t>
      </w:r>
      <w:r w:rsidR="00DB69E2" w:rsidRPr="00C12D7B">
        <w:rPr>
          <w:rStyle w:val="Appelnotedebasdep"/>
        </w:rPr>
        <w:footnoteReference w:id="4"/>
      </w:r>
      <w:r w:rsidRPr="00C12D7B">
        <w:t xml:space="preserve">. Despite the absence of a </w:t>
      </w:r>
      <w:r w:rsidR="000B67CF" w:rsidRPr="00C12D7B">
        <w:t xml:space="preserve">thorough </w:t>
      </w:r>
      <w:r w:rsidRPr="00C12D7B">
        <w:t>evaluation</w:t>
      </w:r>
      <w:r w:rsidR="00DB69E2" w:rsidRPr="00C12D7B">
        <w:rPr>
          <w:rStyle w:val="Appelnotedebasdep"/>
        </w:rPr>
        <w:footnoteReference w:id="5"/>
      </w:r>
      <w:r w:rsidRPr="00C12D7B">
        <w:t>, signs are already clear: since 1995, FDI</w:t>
      </w:r>
      <w:r w:rsidR="00DB69E2" w:rsidRPr="00C12D7B">
        <w:t>s have</w:t>
      </w:r>
      <w:r w:rsidRPr="00C12D7B">
        <w:t xml:space="preserve"> </w:t>
      </w:r>
      <w:r w:rsidR="00DB69E2" w:rsidRPr="00C12D7B">
        <w:t xml:space="preserve">been </w:t>
      </w:r>
      <w:r w:rsidRPr="00C12D7B">
        <w:t xml:space="preserve">concentrated in coastal regions, mostly </w:t>
      </w:r>
      <w:r w:rsidRPr="00C12D7B">
        <w:lastRenderedPageBreak/>
        <w:t xml:space="preserve">in exporting companies operating offshore (thus not contributing to the country's public finances), the trade balance </w:t>
      </w:r>
      <w:r w:rsidR="0012130B" w:rsidRPr="00C12D7B">
        <w:t xml:space="preserve">has been </w:t>
      </w:r>
      <w:r w:rsidRPr="00C12D7B">
        <w:t>deteriorating</w:t>
      </w:r>
      <w:r w:rsidR="00AD331E" w:rsidRPr="00C12D7B">
        <w:rPr>
          <w:rStyle w:val="Appelnotedebasdep"/>
        </w:rPr>
        <w:footnoteReference w:id="6"/>
      </w:r>
      <w:r w:rsidRPr="00C12D7B">
        <w:t xml:space="preserve">, the Tunisian economy is locked into low </w:t>
      </w:r>
      <w:r w:rsidR="00236E91" w:rsidRPr="00C12D7B">
        <w:t>added-</w:t>
      </w:r>
      <w:r w:rsidRPr="00C12D7B">
        <w:t xml:space="preserve">value production, </w:t>
      </w:r>
      <w:r w:rsidR="00C12D7B" w:rsidRPr="00C12D7B">
        <w:t>and unemployment</w:t>
      </w:r>
      <w:r w:rsidRPr="00C12D7B">
        <w:t xml:space="preserve"> among young graduates is exploding</w:t>
      </w:r>
      <w:r w:rsidR="008A44C1" w:rsidRPr="00C12D7B">
        <w:rPr>
          <w:rStyle w:val="Appelnotedebasdep"/>
        </w:rPr>
        <w:footnoteReference w:id="7"/>
      </w:r>
      <w:r w:rsidRPr="00C12D7B">
        <w:t xml:space="preserve">. </w:t>
      </w:r>
      <w:r w:rsidR="0012130B" w:rsidRPr="00C12D7B">
        <w:t>Outcomes are far from what was expected</w:t>
      </w:r>
      <w:r w:rsidRPr="00C12D7B">
        <w:t>.</w:t>
      </w:r>
    </w:p>
    <w:p w:rsidR="00233480" w:rsidRPr="00C12D7B" w:rsidRDefault="00DF39AF" w:rsidP="00233480">
      <w:pPr>
        <w:pStyle w:val="Titre1"/>
      </w:pPr>
      <w:r>
        <w:t>Liberalis</w:t>
      </w:r>
      <w:r w:rsidR="00233480" w:rsidRPr="00C12D7B">
        <w:t>ation of agriculture</w:t>
      </w:r>
    </w:p>
    <w:p w:rsidR="00233480" w:rsidRPr="00C12D7B" w:rsidRDefault="00233480" w:rsidP="00233480">
      <w:r w:rsidRPr="00C12D7B">
        <w:t>Agriculture is an important sector of the Tunisian economy, accounting for 10% of GDP (against 1.5% for the EU</w:t>
      </w:r>
      <w:r w:rsidR="008A44C1" w:rsidRPr="00C12D7B">
        <w:rPr>
          <w:rStyle w:val="Appelnotedebasdep"/>
        </w:rPr>
        <w:footnoteReference w:id="8"/>
      </w:r>
      <w:r w:rsidRPr="00C12D7B">
        <w:t>), 14.2% of total employment</w:t>
      </w:r>
      <w:r w:rsidR="00572D95" w:rsidRPr="00C12D7B">
        <w:rPr>
          <w:rStyle w:val="Appelnotedebasdep"/>
        </w:rPr>
        <w:footnoteReference w:id="9"/>
      </w:r>
      <w:r w:rsidRPr="00C12D7B">
        <w:t xml:space="preserve"> and 45% in rural areas</w:t>
      </w:r>
      <w:r w:rsidR="00572D95" w:rsidRPr="00C12D7B">
        <w:rPr>
          <w:rStyle w:val="Appelnotedebasdep"/>
        </w:rPr>
        <w:footnoteReference w:id="10"/>
      </w:r>
      <w:r w:rsidRPr="00C12D7B">
        <w:t xml:space="preserve">.  </w:t>
      </w:r>
    </w:p>
    <w:p w:rsidR="00233480" w:rsidRPr="00C12D7B" w:rsidRDefault="0050639C" w:rsidP="00233480">
      <w:r w:rsidRPr="00C12D7B">
        <w:t xml:space="preserve">The </w:t>
      </w:r>
      <w:r w:rsidR="00DF39AF">
        <w:t>liberalis</w:t>
      </w:r>
      <w:r w:rsidRPr="00C12D7B">
        <w:t>ation of agriculture</w:t>
      </w:r>
      <w:r w:rsidR="00233480" w:rsidRPr="00C12D7B">
        <w:t xml:space="preserve"> could allow certain Tunisian products to increase their exports, in particular olive oil and dates</w:t>
      </w:r>
      <w:r w:rsidR="00572D95" w:rsidRPr="00C12D7B">
        <w:rPr>
          <w:rStyle w:val="Appelnotedebasdep"/>
        </w:rPr>
        <w:footnoteReference w:id="11"/>
      </w:r>
      <w:r w:rsidR="00233480" w:rsidRPr="00C12D7B">
        <w:t xml:space="preserve">. Thus </w:t>
      </w:r>
      <w:r w:rsidRPr="00C12D7B">
        <w:t xml:space="preserve">the </w:t>
      </w:r>
      <w:r w:rsidR="00B95516" w:rsidRPr="00C12D7B">
        <w:t>DCFTA</w:t>
      </w:r>
      <w:r w:rsidR="00233480" w:rsidRPr="00C12D7B">
        <w:t xml:space="preserve"> </w:t>
      </w:r>
      <w:r w:rsidR="000B67CF" w:rsidRPr="00C12D7B">
        <w:t>would stimulate</w:t>
      </w:r>
      <w:r w:rsidR="00233480" w:rsidRPr="00C12D7B">
        <w:t xml:space="preserve"> employment in the production of fruit and vegetables or vegetable oils, but most of these jobs </w:t>
      </w:r>
      <w:r w:rsidR="0012130B" w:rsidRPr="00C12D7B">
        <w:t xml:space="preserve">would </w:t>
      </w:r>
      <w:r w:rsidR="00233480" w:rsidRPr="00C12D7B">
        <w:t>be unskilled and temporary</w:t>
      </w:r>
      <w:r w:rsidR="00572D95" w:rsidRPr="00C12D7B">
        <w:rPr>
          <w:rStyle w:val="Appelnotedebasdep"/>
        </w:rPr>
        <w:footnoteReference w:id="12"/>
      </w:r>
      <w:r w:rsidR="00233480" w:rsidRPr="00C12D7B">
        <w:t xml:space="preserve">. Moreover, many export quotas are currently not </w:t>
      </w:r>
      <w:r w:rsidR="0012130B" w:rsidRPr="00C12D7B">
        <w:t>ful</w:t>
      </w:r>
      <w:r w:rsidR="00233480" w:rsidRPr="00C12D7B">
        <w:t>filled, as in the case of oranges. Thus, for citrus fruits, a larger opening does not seem beneficial</w:t>
      </w:r>
      <w:r w:rsidR="00572D95" w:rsidRPr="00C12D7B">
        <w:rPr>
          <w:rStyle w:val="Appelnotedebasdep"/>
        </w:rPr>
        <w:footnoteReference w:id="13"/>
      </w:r>
      <w:r w:rsidR="00233480" w:rsidRPr="00C12D7B">
        <w:t xml:space="preserve">. </w:t>
      </w:r>
    </w:p>
    <w:p w:rsidR="00233480" w:rsidRPr="00C12D7B" w:rsidRDefault="00233480" w:rsidP="00233480">
      <w:r w:rsidRPr="00C12D7B">
        <w:t>On the contrary, the opening of the Tunisian market risks</w:t>
      </w:r>
      <w:r w:rsidR="002169BF" w:rsidRPr="00C12D7B">
        <w:t xml:space="preserve"> increas</w:t>
      </w:r>
      <w:r w:rsidR="0012130B" w:rsidRPr="00C12D7B">
        <w:t>ing</w:t>
      </w:r>
      <w:r w:rsidRPr="00C12D7B">
        <w:t xml:space="preserve"> the vulnerability of the agricultural sector to European exports, which are more productive and subsidized by the Common Agricultural Policy (CAP). </w:t>
      </w:r>
      <w:r w:rsidR="000B67CF" w:rsidRPr="00C12D7B">
        <w:t xml:space="preserve">For instance, </w:t>
      </w:r>
      <w:r w:rsidRPr="00C12D7B">
        <w:t xml:space="preserve">Spain is the world's leading exporter of citrus fruits and its products could eventually enter Tunisia freely. Moreover, some key sectors such as cereals or livestock could suffer net losses in production volumes, </w:t>
      </w:r>
      <w:r w:rsidR="00E15B3D" w:rsidRPr="00C12D7B">
        <w:t xml:space="preserve">added </w:t>
      </w:r>
      <w:r w:rsidRPr="00C12D7B">
        <w:t>value and employment</w:t>
      </w:r>
      <w:r w:rsidR="00572D95" w:rsidRPr="00C12D7B">
        <w:rPr>
          <w:rStyle w:val="Appelnotedebasdep"/>
        </w:rPr>
        <w:footnoteReference w:id="14"/>
      </w:r>
      <w:r w:rsidRPr="00C12D7B">
        <w:t>. Tunisia thus risk</w:t>
      </w:r>
      <w:r w:rsidR="0012130B" w:rsidRPr="00C12D7B">
        <w:t>s</w:t>
      </w:r>
      <w:r w:rsidRPr="00C12D7B">
        <w:t xml:space="preserve"> </w:t>
      </w:r>
      <w:r w:rsidR="002169BF" w:rsidRPr="00C12D7B">
        <w:t>deepen</w:t>
      </w:r>
      <w:r w:rsidR="0012130B" w:rsidRPr="00C12D7B">
        <w:t>ing</w:t>
      </w:r>
      <w:r w:rsidRPr="00C12D7B">
        <w:t xml:space="preserve"> an agro-export orientation</w:t>
      </w:r>
      <w:r w:rsidR="000B67CF" w:rsidRPr="00C12D7B">
        <w:t xml:space="preserve"> model,</w:t>
      </w:r>
      <w:r w:rsidRPr="00C12D7B">
        <w:t xml:space="preserve"> already encouraged by the i</w:t>
      </w:r>
      <w:r w:rsidR="002169BF" w:rsidRPr="00C12D7B">
        <w:t>nvestment of major European companies</w:t>
      </w:r>
      <w:r w:rsidRPr="00C12D7B">
        <w:t xml:space="preserve"> in the sector, losing jobs</w:t>
      </w:r>
      <w:r w:rsidR="000B67CF" w:rsidRPr="00C12D7B">
        <w:t xml:space="preserve"> in agriculture</w:t>
      </w:r>
      <w:r w:rsidRPr="00C12D7B">
        <w:t xml:space="preserve"> and becoming more dependent on foreign markets for its basic food needs.</w:t>
      </w:r>
    </w:p>
    <w:p w:rsidR="00233480" w:rsidRPr="00C12D7B" w:rsidRDefault="00DF39AF" w:rsidP="00233480">
      <w:pPr>
        <w:pStyle w:val="Titre1"/>
      </w:pPr>
      <w:r>
        <w:t>Liberalis</w:t>
      </w:r>
      <w:r w:rsidR="00233480" w:rsidRPr="00C12D7B">
        <w:t xml:space="preserve">ation of services </w:t>
      </w:r>
    </w:p>
    <w:p w:rsidR="00233480" w:rsidRPr="00C12D7B" w:rsidRDefault="00233480" w:rsidP="00233480">
      <w:r w:rsidRPr="00C12D7B">
        <w:t xml:space="preserve">In the </w:t>
      </w:r>
      <w:r w:rsidR="006810D6" w:rsidRPr="00C12D7B">
        <w:t xml:space="preserve">Tunisian </w:t>
      </w:r>
      <w:r w:rsidRPr="00C12D7B">
        <w:t>services sector (60% of GDP and 50% of total employment</w:t>
      </w:r>
      <w:r w:rsidR="00F94858" w:rsidRPr="00C12D7B">
        <w:rPr>
          <w:rStyle w:val="Appelnotedebasdep"/>
        </w:rPr>
        <w:footnoteReference w:id="15"/>
      </w:r>
      <w:r w:rsidRPr="00C12D7B">
        <w:t xml:space="preserve">), </w:t>
      </w:r>
      <w:r w:rsidR="000B67CF" w:rsidRPr="00C12D7B">
        <w:t>sub-sectors of</w:t>
      </w:r>
      <w:r w:rsidR="00C12D7B">
        <w:t xml:space="preserve"> </w:t>
      </w:r>
      <w:r w:rsidRPr="00C12D7B">
        <w:t>informat</w:t>
      </w:r>
      <w:r w:rsidR="00C9630C" w:rsidRPr="00C12D7B">
        <w:t>ion and communication technologies</w:t>
      </w:r>
      <w:r w:rsidRPr="00C12D7B">
        <w:t>, financial services and transport are the most dynamic, but also the most protected</w:t>
      </w:r>
      <w:r w:rsidR="00F94858" w:rsidRPr="00C12D7B">
        <w:rPr>
          <w:rStyle w:val="Appelnotedebasdep"/>
        </w:rPr>
        <w:footnoteReference w:id="16"/>
      </w:r>
      <w:r w:rsidRPr="00C12D7B">
        <w:t xml:space="preserve">. These sectors are likely to be the most affected by European competition. A study </w:t>
      </w:r>
      <w:r w:rsidRPr="00C12D7B">
        <w:lastRenderedPageBreak/>
        <w:t>commissioned by the European Commission and published in May 2013 indicates that Tunisia's services sector should see a drop in exports and an increase in imports as a result of</w:t>
      </w:r>
      <w:r w:rsidR="00E15B3D" w:rsidRPr="00C12D7B">
        <w:t xml:space="preserve"> the</w:t>
      </w:r>
      <w:r w:rsidRPr="00C12D7B">
        <w:t xml:space="preserve"> </w:t>
      </w:r>
      <w:r w:rsidR="00B95516" w:rsidRPr="00C12D7B">
        <w:t>DCFTA</w:t>
      </w:r>
      <w:r w:rsidR="00F94858" w:rsidRPr="00C12D7B">
        <w:rPr>
          <w:rStyle w:val="Appelnotedebasdep"/>
        </w:rPr>
        <w:footnoteReference w:id="17"/>
      </w:r>
      <w:r w:rsidRPr="00C12D7B">
        <w:t xml:space="preserve">. </w:t>
      </w:r>
    </w:p>
    <w:p w:rsidR="00233480" w:rsidRPr="00C12D7B" w:rsidRDefault="00233480" w:rsidP="00233480">
      <w:r w:rsidRPr="00C12D7B">
        <w:t xml:space="preserve">Services will also be </w:t>
      </w:r>
      <w:r w:rsidR="00E15B3D" w:rsidRPr="00C12D7B">
        <w:t>liberalized</w:t>
      </w:r>
      <w:r w:rsidRPr="00C12D7B">
        <w:t xml:space="preserve"> via negative lists. The principle is simple: all services</w:t>
      </w:r>
      <w:r w:rsidR="00D805E2" w:rsidRPr="00C12D7B">
        <w:t xml:space="preserve"> are opened up</w:t>
      </w:r>
      <w:r w:rsidRPr="00C12D7B">
        <w:t xml:space="preserve"> to </w:t>
      </w:r>
      <w:r w:rsidR="00C9630C" w:rsidRPr="00C12D7B">
        <w:t xml:space="preserve">the </w:t>
      </w:r>
      <w:r w:rsidRPr="00C12D7B">
        <w:t xml:space="preserve">competition </w:t>
      </w:r>
      <w:r w:rsidR="00C9630C" w:rsidRPr="00C12D7B">
        <w:t>of</w:t>
      </w:r>
      <w:r w:rsidRPr="00C12D7B">
        <w:t xml:space="preserve"> companies of the other contracting party, with the exception of the regulations and sectors explicitly listed in the annex - in contrast to the positive lists </w:t>
      </w:r>
      <w:r w:rsidR="00B22282" w:rsidRPr="00C12D7B">
        <w:t>used</w:t>
      </w:r>
      <w:r w:rsidRPr="00C12D7B">
        <w:t xml:space="preserve"> </w:t>
      </w:r>
      <w:r w:rsidR="00B22282" w:rsidRPr="00C12D7B">
        <w:t>in</w:t>
      </w:r>
      <w:r w:rsidRPr="00C12D7B">
        <w:t xml:space="preserve"> the WTO, which limit </w:t>
      </w:r>
      <w:r w:rsidR="00E15B3D" w:rsidRPr="00C12D7B">
        <w:t>liberali</w:t>
      </w:r>
      <w:r w:rsidR="00DF39AF">
        <w:t>s</w:t>
      </w:r>
      <w:r w:rsidR="00E15B3D" w:rsidRPr="00C12D7B">
        <w:t>ation</w:t>
      </w:r>
      <w:r w:rsidRPr="00C12D7B">
        <w:t xml:space="preserve"> to explicitly </w:t>
      </w:r>
      <w:r w:rsidR="00C9630C" w:rsidRPr="00C12D7B">
        <w:t>listed</w:t>
      </w:r>
      <w:r w:rsidRPr="00C12D7B">
        <w:t xml:space="preserve"> services. Services, including public services, which are not properly listed would therefore be subject to European competition.</w:t>
      </w:r>
    </w:p>
    <w:p w:rsidR="00233480" w:rsidRPr="00C12D7B" w:rsidRDefault="00233480" w:rsidP="00233480">
      <w:r w:rsidRPr="00C12D7B">
        <w:t xml:space="preserve">Moreover, </w:t>
      </w:r>
      <w:r w:rsidR="000B67CF" w:rsidRPr="00C12D7B">
        <w:t xml:space="preserve">lack of </w:t>
      </w:r>
      <w:r w:rsidRPr="00C12D7B">
        <w:t>freedom of movement</w:t>
      </w:r>
      <w:r w:rsidR="000B67CF" w:rsidRPr="00C12D7B">
        <w:t xml:space="preserve"> undermine Tunisian opportunities.</w:t>
      </w:r>
      <w:r w:rsidRPr="00C12D7B">
        <w:t xml:space="preserve"> Tunisian service providers need visas and work permits</w:t>
      </w:r>
      <w:r w:rsidR="003E21F6" w:rsidRPr="00C12D7B">
        <w:t xml:space="preserve"> to access the EU</w:t>
      </w:r>
      <w:r w:rsidRPr="00C12D7B">
        <w:t>, unlike their European competitors who can come and go without visas. Thus since the beginning of the negotiations, Tunisia has been asking for an agreement on worker</w:t>
      </w:r>
      <w:r w:rsidR="00B22282" w:rsidRPr="00C12D7B">
        <w:t>s</w:t>
      </w:r>
      <w:r w:rsidRPr="00C12D7B">
        <w:t xml:space="preserve"> mobility, linked to </w:t>
      </w:r>
      <w:r w:rsidR="00B22282" w:rsidRPr="00C12D7B">
        <w:t xml:space="preserve">the </w:t>
      </w:r>
      <w:r w:rsidR="00B95516" w:rsidRPr="00C12D7B">
        <w:t>DCFTA</w:t>
      </w:r>
      <w:r w:rsidR="00F94858" w:rsidRPr="00C12D7B">
        <w:rPr>
          <w:rStyle w:val="Appelnotedebasdep"/>
        </w:rPr>
        <w:footnoteReference w:id="18"/>
      </w:r>
      <w:r w:rsidRPr="00C12D7B">
        <w:t xml:space="preserve">.  </w:t>
      </w:r>
    </w:p>
    <w:p w:rsidR="00233480" w:rsidRPr="00C12D7B" w:rsidRDefault="00233480" w:rsidP="00233480">
      <w:pPr>
        <w:pStyle w:val="Titre1"/>
      </w:pPr>
      <w:r w:rsidRPr="00C12D7B">
        <w:t>Investment protection</w:t>
      </w:r>
    </w:p>
    <w:p w:rsidR="00233480" w:rsidRPr="00C12D7B" w:rsidRDefault="00233480" w:rsidP="00233480">
      <w:r w:rsidRPr="00C12D7B">
        <w:t>Investment protection measures could pose economic, social and democratic problems. The text proposed by the EU explicitly prohibit</w:t>
      </w:r>
      <w:r w:rsidR="003E21F6" w:rsidRPr="00C12D7B">
        <w:t>s</w:t>
      </w:r>
      <w:r w:rsidRPr="00C12D7B">
        <w:t xml:space="preserve"> </w:t>
      </w:r>
      <w:r w:rsidR="00D805E2" w:rsidRPr="00C12D7B">
        <w:t>the Tunisian government</w:t>
      </w:r>
      <w:r w:rsidR="00C12D7B">
        <w:t xml:space="preserve"> </w:t>
      </w:r>
      <w:r w:rsidR="003E21F6" w:rsidRPr="00C12D7B">
        <w:t>from demanding</w:t>
      </w:r>
      <w:r w:rsidR="00B25E9C" w:rsidRPr="00C12D7B">
        <w:t xml:space="preserve"> conditions of recruitment of </w:t>
      </w:r>
      <w:r w:rsidR="003E21F6" w:rsidRPr="00C12D7B">
        <w:t xml:space="preserve">national </w:t>
      </w:r>
      <w:r w:rsidR="00B25E9C" w:rsidRPr="00C12D7B">
        <w:t>staff</w:t>
      </w:r>
      <w:r w:rsidR="003E21F6" w:rsidRPr="00C12D7B">
        <w:t>,</w:t>
      </w:r>
      <w:r w:rsidR="00B25E9C" w:rsidRPr="00C12D7B">
        <w:t xml:space="preserve"> or</w:t>
      </w:r>
      <w:r w:rsidRPr="00C12D7B">
        <w:t xml:space="preserve"> </w:t>
      </w:r>
      <w:r w:rsidR="00B25E9C" w:rsidRPr="00C12D7B">
        <w:t xml:space="preserve">skills and technologies </w:t>
      </w:r>
      <w:r w:rsidRPr="00C12D7B">
        <w:t>transfer</w:t>
      </w:r>
      <w:r w:rsidR="00B25E9C" w:rsidRPr="00C12D7B">
        <w:t>s</w:t>
      </w:r>
      <w:r w:rsidRPr="00C12D7B">
        <w:t>, when they could</w:t>
      </w:r>
      <w:r w:rsidR="003E21F6" w:rsidRPr="00C12D7B">
        <w:t xml:space="preserve"> be very useful tools </w:t>
      </w:r>
      <w:r w:rsidR="00B25E9C" w:rsidRPr="00C12D7B">
        <w:t>to upgrade</w:t>
      </w:r>
      <w:r w:rsidRPr="00C12D7B">
        <w:t xml:space="preserve"> </w:t>
      </w:r>
      <w:r w:rsidR="00B25E9C" w:rsidRPr="00C12D7B">
        <w:t>the Tunisian economy</w:t>
      </w:r>
      <w:r w:rsidR="00F94858" w:rsidRPr="00C12D7B">
        <w:rPr>
          <w:rStyle w:val="Appelnotedebasdep"/>
        </w:rPr>
        <w:footnoteReference w:id="19"/>
      </w:r>
      <w:r w:rsidR="00B25E9C" w:rsidRPr="00C12D7B">
        <w:t>.</w:t>
      </w:r>
    </w:p>
    <w:p w:rsidR="00233480" w:rsidRPr="00C12D7B" w:rsidRDefault="00233480" w:rsidP="00233480">
      <w:r w:rsidRPr="00C12D7B">
        <w:t xml:space="preserve">On the other hand, an agreement on investor-state dispute settlement </w:t>
      </w:r>
      <w:r w:rsidR="00AE01F7" w:rsidRPr="00C12D7B">
        <w:t>is to</w:t>
      </w:r>
      <w:r w:rsidRPr="00C12D7B">
        <w:t xml:space="preserve"> be negotiated</w:t>
      </w:r>
      <w:r w:rsidR="00F94858" w:rsidRPr="00C12D7B">
        <w:rPr>
          <w:rStyle w:val="Appelnotedebasdep"/>
        </w:rPr>
        <w:footnoteReference w:id="20"/>
      </w:r>
      <w:r w:rsidRPr="00C12D7B">
        <w:t xml:space="preserve">. It will probably be separate from the trade agreement, given the </w:t>
      </w:r>
      <w:r w:rsidR="003E21F6" w:rsidRPr="00C12D7B">
        <w:t xml:space="preserve">recent </w:t>
      </w:r>
      <w:r w:rsidRPr="00C12D7B">
        <w:t>European Commission's decision to distinguish these two matters</w:t>
      </w:r>
      <w:r w:rsidR="00F94858" w:rsidRPr="00C12D7B">
        <w:rPr>
          <w:rStyle w:val="Appelnotedebasdep"/>
        </w:rPr>
        <w:footnoteReference w:id="21"/>
      </w:r>
      <w:r w:rsidRPr="00C12D7B">
        <w:t xml:space="preserve">. As in the case of </w:t>
      </w:r>
      <w:r w:rsidR="00AE01F7" w:rsidRPr="00C12D7B">
        <w:t xml:space="preserve">the </w:t>
      </w:r>
      <w:r w:rsidRPr="00C12D7B">
        <w:t>treaties between the EU and Canada (CETA</w:t>
      </w:r>
      <w:r w:rsidR="00F94858" w:rsidRPr="00C12D7B">
        <w:rPr>
          <w:rStyle w:val="Appelnotedebasdep"/>
        </w:rPr>
        <w:footnoteReference w:id="22"/>
      </w:r>
      <w:r w:rsidRPr="00C12D7B">
        <w:t>) or the Un</w:t>
      </w:r>
      <w:r w:rsidR="00AE01F7" w:rsidRPr="00C12D7B">
        <w:t>ited States (</w:t>
      </w:r>
      <w:r w:rsidRPr="00C12D7B">
        <w:t>TTIP</w:t>
      </w:r>
      <w:r w:rsidR="00F94858" w:rsidRPr="00C12D7B">
        <w:rPr>
          <w:rStyle w:val="Appelnotedebasdep"/>
        </w:rPr>
        <w:footnoteReference w:id="23"/>
      </w:r>
      <w:r w:rsidRPr="00C12D7B">
        <w:t xml:space="preserve">), </w:t>
      </w:r>
      <w:r w:rsidR="003E21F6" w:rsidRPr="00C12D7B">
        <w:t>such a measure undermines</w:t>
      </w:r>
      <w:r w:rsidRPr="00C12D7B">
        <w:t xml:space="preserve"> democratic control and </w:t>
      </w:r>
      <w:r w:rsidR="003E21F6" w:rsidRPr="00C12D7B">
        <w:t>due process</w:t>
      </w:r>
      <w:r w:rsidRPr="00C12D7B">
        <w:t xml:space="preserve"> of law. </w:t>
      </w:r>
      <w:r w:rsidR="003E21F6" w:rsidRPr="00C12D7B">
        <w:t>Indeed</w:t>
      </w:r>
      <w:r w:rsidRPr="00C12D7B">
        <w:t xml:space="preserve">, the arbitration clause would </w:t>
      </w:r>
      <w:r w:rsidR="00D805E2" w:rsidRPr="00C12D7B">
        <w:t xml:space="preserve">effectively </w:t>
      </w:r>
      <w:r w:rsidRPr="00C12D7B">
        <w:t xml:space="preserve">allow foreign investors to attack </w:t>
      </w:r>
      <w:r w:rsidR="00D805E2" w:rsidRPr="00C12D7B">
        <w:t xml:space="preserve">the </w:t>
      </w:r>
      <w:r w:rsidRPr="00C12D7B">
        <w:t>Tunisia</w:t>
      </w:r>
      <w:r w:rsidR="00D805E2" w:rsidRPr="00C12D7B">
        <w:t>n government</w:t>
      </w:r>
      <w:r w:rsidRPr="00C12D7B">
        <w:t xml:space="preserve"> for "indirect expropriation" in special private courts. They could therefore demand compensation for the fact that the Tunisian government has legislated on the protection of workers, health or the environment, for example</w:t>
      </w:r>
      <w:r w:rsidR="00E835CA" w:rsidRPr="00C12D7B">
        <w:rPr>
          <w:rStyle w:val="Appelnotedebasdep"/>
        </w:rPr>
        <w:footnoteReference w:id="24"/>
      </w:r>
      <w:r w:rsidRPr="00C12D7B">
        <w:t xml:space="preserve">. This provision has already cost hundreds of millions of dollars to states that have tried to regulate the economy </w:t>
      </w:r>
      <w:r w:rsidR="003E21F6" w:rsidRPr="00C12D7B">
        <w:t xml:space="preserve">and </w:t>
      </w:r>
      <w:r w:rsidRPr="00C12D7B">
        <w:t>protect public interest</w:t>
      </w:r>
      <w:r w:rsidR="00E835CA" w:rsidRPr="00C12D7B">
        <w:rPr>
          <w:rStyle w:val="Appelnotedebasdep"/>
        </w:rPr>
        <w:footnoteReference w:id="25"/>
      </w:r>
      <w:r w:rsidRPr="00C12D7B">
        <w:t xml:space="preserve">.  </w:t>
      </w:r>
    </w:p>
    <w:p w:rsidR="00233480" w:rsidRPr="00C12D7B" w:rsidRDefault="00DF39AF" w:rsidP="00233480">
      <w:pPr>
        <w:pStyle w:val="Titre1"/>
      </w:pPr>
      <w:r>
        <w:t>Regulatory Harmonis</w:t>
      </w:r>
      <w:r w:rsidR="00233480" w:rsidRPr="00C12D7B">
        <w:t>ation and Intellectual Property</w:t>
      </w:r>
    </w:p>
    <w:p w:rsidR="00233480" w:rsidRPr="00C12D7B" w:rsidRDefault="00233480" w:rsidP="00233480">
      <w:r w:rsidRPr="00C12D7B">
        <w:t xml:space="preserve">The EU proposes </w:t>
      </w:r>
      <w:r w:rsidR="006E733C" w:rsidRPr="00C12D7B">
        <w:t>harmonizing</w:t>
      </w:r>
      <w:r w:rsidRPr="00C12D7B">
        <w:t xml:space="preserve"> Tunisian regulations with</w:t>
      </w:r>
      <w:r w:rsidR="006E733C" w:rsidRPr="00C12D7B">
        <w:t xml:space="preserve"> EU standards, </w:t>
      </w:r>
      <w:r w:rsidRPr="00C12D7B">
        <w:t xml:space="preserve">whether on technical barriers to trade, sanitary and phytosanitary rules or intellectual property rights (IPR). The adoption of these new rules goes against Tunisia's sovereignty. As a sovereign country </w:t>
      </w:r>
      <w:r w:rsidR="00D805E2" w:rsidRPr="00C12D7B">
        <w:t xml:space="preserve">that </w:t>
      </w:r>
      <w:r w:rsidRPr="00C12D7B">
        <w:t xml:space="preserve">is not part of the EU, it is up </w:t>
      </w:r>
      <w:r w:rsidRPr="00C12D7B">
        <w:lastRenderedPageBreak/>
        <w:t xml:space="preserve">to </w:t>
      </w:r>
      <w:r w:rsidR="00D805E2" w:rsidRPr="00C12D7B">
        <w:t>the Tunisian government</w:t>
      </w:r>
      <w:r w:rsidR="003E21F6" w:rsidRPr="00C12D7B">
        <w:t xml:space="preserve"> </w:t>
      </w:r>
      <w:r w:rsidRPr="00C12D7B">
        <w:t xml:space="preserve">to choose the values, rules and standards it wants to adopt with regard to food, chemicals, technologies, personal data management, etc. Moreover, Tunisia's normative and technological capacities being different from those of the EU, directly transposing European standards may not be appropriate to the Tunisian </w:t>
      </w:r>
      <w:r w:rsidR="003E21F6" w:rsidRPr="00C12D7B">
        <w:t>context</w:t>
      </w:r>
      <w:r w:rsidRPr="00C12D7B">
        <w:t>.</w:t>
      </w:r>
    </w:p>
    <w:p w:rsidR="00233480" w:rsidRPr="00C12D7B" w:rsidRDefault="00233480" w:rsidP="00233480">
      <w:r w:rsidRPr="00C12D7B">
        <w:t xml:space="preserve">Moreover, the </w:t>
      </w:r>
      <w:r w:rsidR="003E21F6" w:rsidRPr="00C12D7B">
        <w:t xml:space="preserve">IPRs </w:t>
      </w:r>
      <w:r w:rsidRPr="00C12D7B">
        <w:t>proposal is of "TRIPS+</w:t>
      </w:r>
      <w:r w:rsidR="00E835CA" w:rsidRPr="00C12D7B">
        <w:rPr>
          <w:rStyle w:val="Appelnotedebasdep"/>
        </w:rPr>
        <w:footnoteReference w:id="26"/>
      </w:r>
      <w:r w:rsidRPr="00C12D7B">
        <w:t xml:space="preserve">" type and would therefore </w:t>
      </w:r>
      <w:r w:rsidR="003E21F6" w:rsidRPr="00C12D7B">
        <w:t xml:space="preserve">reduce </w:t>
      </w:r>
      <w:r w:rsidRPr="00C12D7B">
        <w:t xml:space="preserve">Tunisian authorities' room for manoeuvre in public health policy. In particular, it would lengthen patent durations, protect clinical trial data </w:t>
      </w:r>
      <w:r w:rsidR="006E733C" w:rsidRPr="00C12D7B">
        <w:t>of</w:t>
      </w:r>
      <w:r w:rsidRPr="00C12D7B">
        <w:t xml:space="preserve"> many medicines and thus reduce the Tunisian population's access to generic medicines</w:t>
      </w:r>
      <w:r w:rsidR="00E835CA" w:rsidRPr="00C12D7B">
        <w:rPr>
          <w:rStyle w:val="Appelnotedebasdep"/>
        </w:rPr>
        <w:footnoteReference w:id="27"/>
      </w:r>
      <w:r w:rsidRPr="00C12D7B">
        <w:t xml:space="preserve">. </w:t>
      </w:r>
    </w:p>
    <w:p w:rsidR="00233480" w:rsidRPr="00C12D7B" w:rsidRDefault="00233480" w:rsidP="00233480">
      <w:pPr>
        <w:pStyle w:val="Titre1"/>
      </w:pPr>
      <w:r w:rsidRPr="00C12D7B">
        <w:t xml:space="preserve">Conclusion: Tunisia is not ready for </w:t>
      </w:r>
      <w:r w:rsidR="00BB340F" w:rsidRPr="00C12D7B">
        <w:t xml:space="preserve">the </w:t>
      </w:r>
      <w:r w:rsidR="00B95516" w:rsidRPr="00C12D7B">
        <w:t>DCFTA</w:t>
      </w:r>
      <w:r w:rsidRPr="00C12D7B">
        <w:t xml:space="preserve">  </w:t>
      </w:r>
    </w:p>
    <w:p w:rsidR="00233480" w:rsidRPr="00C12D7B" w:rsidRDefault="00233480" w:rsidP="00233480">
      <w:r w:rsidRPr="00C12D7B">
        <w:t>Tunisia is considered as a successful example of democratic transition resulting from the Arab springs</w:t>
      </w:r>
      <w:r w:rsidR="007C05EC" w:rsidRPr="00C12D7B">
        <w:t>.</w:t>
      </w:r>
      <w:r w:rsidRPr="00C12D7B">
        <w:t xml:space="preserve"> But the achievements in civil and political rights are </w:t>
      </w:r>
      <w:r w:rsidR="004177F6" w:rsidRPr="00C12D7B">
        <w:t xml:space="preserve">currently </w:t>
      </w:r>
      <w:r w:rsidRPr="00C12D7B">
        <w:t>weakened by the deterioration of the economic and social situation of the country</w:t>
      </w:r>
      <w:r w:rsidR="003E21F6" w:rsidRPr="00C12D7B">
        <w:t>, while</w:t>
      </w:r>
      <w:r w:rsidRPr="00C12D7B">
        <w:t xml:space="preserve"> </w:t>
      </w:r>
      <w:r w:rsidR="003E21F6" w:rsidRPr="00C12D7B">
        <w:t>t</w:t>
      </w:r>
      <w:r w:rsidRPr="00C12D7B">
        <w:t xml:space="preserve">he 2011 revolution was itself the consequence of a catastrophic social situation. Some sectors, notably olive oil, could benefit from the deepened </w:t>
      </w:r>
      <w:r w:rsidR="007C05EC" w:rsidRPr="00C12D7B">
        <w:t>trade</w:t>
      </w:r>
      <w:r w:rsidRPr="00C12D7B">
        <w:t xml:space="preserve"> opening, but the </w:t>
      </w:r>
      <w:r w:rsidR="00B95516" w:rsidRPr="00C12D7B">
        <w:t>DCFTA</w:t>
      </w:r>
      <w:r w:rsidRPr="00C12D7B">
        <w:t xml:space="preserve">, developed on the foundations of the AA, could also </w:t>
      </w:r>
      <w:r w:rsidR="004177F6" w:rsidRPr="00C12D7B">
        <w:t xml:space="preserve">hamper </w:t>
      </w:r>
      <w:r w:rsidRPr="00C12D7B">
        <w:t xml:space="preserve">small farmers, service providers, </w:t>
      </w:r>
      <w:r w:rsidR="00C12D7B" w:rsidRPr="00C12D7B">
        <w:t>and small</w:t>
      </w:r>
      <w:r w:rsidRPr="00C12D7B">
        <w:t xml:space="preserve"> entrepreneurs, restrict access to health, limit Tunisia's freedom to legislate in social or environmental matters, and </w:t>
      </w:r>
      <w:r w:rsidR="004177F6" w:rsidRPr="00C12D7B">
        <w:t xml:space="preserve">dampen </w:t>
      </w:r>
      <w:r w:rsidRPr="00C12D7B">
        <w:t xml:space="preserve">its rise in technological range. </w:t>
      </w:r>
      <w:r w:rsidR="004177F6" w:rsidRPr="00C12D7B">
        <w:t>Simply put</w:t>
      </w:r>
      <w:r w:rsidRPr="00C12D7B">
        <w:t xml:space="preserve">, </w:t>
      </w:r>
      <w:r w:rsidR="007C05EC" w:rsidRPr="00C12D7B">
        <w:t xml:space="preserve">the </w:t>
      </w:r>
      <w:r w:rsidR="00B95516" w:rsidRPr="00C12D7B">
        <w:t>DCFTA</w:t>
      </w:r>
      <w:r w:rsidRPr="00C12D7B">
        <w:t xml:space="preserve"> risks reduc</w:t>
      </w:r>
      <w:r w:rsidR="004177F6" w:rsidRPr="00C12D7B">
        <w:t>ing</w:t>
      </w:r>
      <w:r w:rsidRPr="00C12D7B">
        <w:t xml:space="preserve"> Tunisia's po</w:t>
      </w:r>
      <w:r w:rsidR="007C05EC" w:rsidRPr="00C12D7B">
        <w:t xml:space="preserve">litical leeway to face its social and </w:t>
      </w:r>
      <w:r w:rsidRPr="00C12D7B">
        <w:t xml:space="preserve">economic challenges. </w:t>
      </w:r>
    </w:p>
    <w:p w:rsidR="00C12D7B" w:rsidRPr="00C12D7B" w:rsidRDefault="00233480" w:rsidP="00233480">
      <w:r w:rsidRPr="00C12D7B">
        <w:t xml:space="preserve">Now </w:t>
      </w:r>
      <w:r w:rsidR="004177F6" w:rsidRPr="00C12D7B">
        <w:t xml:space="preserve">does </w:t>
      </w:r>
      <w:r w:rsidRPr="00C12D7B">
        <w:t xml:space="preserve">not </w:t>
      </w:r>
      <w:r w:rsidR="004177F6" w:rsidRPr="00C12D7B">
        <w:t xml:space="preserve">seem </w:t>
      </w:r>
      <w:r w:rsidRPr="00C12D7B">
        <w:t xml:space="preserve">a good time to negotiate an agreement of this magnitude. Tunisia does not currently have a strong comparative advantage enabling it to compete with the European economies. Moreover, the democratic transition is far from complete: constitutional bodies, including the Constitutional Court, are </w:t>
      </w:r>
      <w:r w:rsidR="008218A0" w:rsidRPr="00C12D7B">
        <w:t>yet to be established</w:t>
      </w:r>
      <w:r w:rsidR="007C05EC" w:rsidRPr="00C12D7B">
        <w:rPr>
          <w:rStyle w:val="Appelnotedebasdep"/>
        </w:rPr>
        <w:footnoteReference w:id="28"/>
      </w:r>
      <w:r w:rsidRPr="00C12D7B">
        <w:t xml:space="preserve">, Parliament lacks resources, and substantive issues, including social and territorial inequalities and collective development choices, have not been resolved. It is therefore important to allow Tunisia </w:t>
      </w:r>
      <w:r w:rsidR="008218A0" w:rsidRPr="00C12D7B">
        <w:t xml:space="preserve">time </w:t>
      </w:r>
      <w:r w:rsidRPr="00C12D7B">
        <w:t xml:space="preserve">to complete its </w:t>
      </w:r>
      <w:r w:rsidR="00DF39AF">
        <w:t>democratis</w:t>
      </w:r>
      <w:r w:rsidR="00E835CA" w:rsidRPr="00C12D7B">
        <w:t>ation</w:t>
      </w:r>
      <w:r w:rsidRPr="00C12D7B">
        <w:t xml:space="preserve"> process, on the one hand, and to </w:t>
      </w:r>
      <w:r w:rsidR="007C05EC" w:rsidRPr="00C12D7B">
        <w:t>finalize</w:t>
      </w:r>
      <w:r w:rsidRPr="00C12D7B">
        <w:t xml:space="preserve"> a truly independent evaluation of the AA, on the other hand, before further negotiating a new agreement - which should be more focused on achieving </w:t>
      </w:r>
      <w:r w:rsidR="007C05EC" w:rsidRPr="00C12D7B">
        <w:t>the Sustainable D</w:t>
      </w:r>
      <w:r w:rsidRPr="00C12D7B">
        <w:t xml:space="preserve">evelopment </w:t>
      </w:r>
      <w:r w:rsidR="007C05EC" w:rsidRPr="00C12D7B">
        <w:t>Goals</w:t>
      </w:r>
      <w:r w:rsidRPr="00C12D7B">
        <w:t xml:space="preserve"> in Tunisia.</w:t>
      </w:r>
    </w:p>
    <w:p w:rsidR="00C12D7B" w:rsidRPr="00C12D7B" w:rsidRDefault="00C12D7B" w:rsidP="00233480"/>
    <w:p w:rsidR="00C12D7B" w:rsidRPr="00C12D7B" w:rsidRDefault="00C12D7B" w:rsidP="00C12D7B">
      <w:pPr>
        <w:pStyle w:val="Titre1"/>
      </w:pPr>
      <w:r w:rsidRPr="00C12D7B">
        <w:t>Recommendations</w:t>
      </w:r>
    </w:p>
    <w:p w:rsidR="00C12D7B" w:rsidRPr="00C12D7B" w:rsidRDefault="00C12D7B" w:rsidP="00C12D7B">
      <w:r w:rsidRPr="00C12D7B">
        <w:t xml:space="preserve">Trade must support sustainable development. As the negotiation process </w:t>
      </w:r>
      <w:r w:rsidR="004733A5">
        <w:t>is being sped up</w:t>
      </w:r>
      <w:r w:rsidRPr="00C12D7B">
        <w:t xml:space="preserve">, we </w:t>
      </w:r>
      <w:r w:rsidR="004733A5">
        <w:t>advise</w:t>
      </w:r>
      <w:r w:rsidR="004733A5" w:rsidRPr="00C12D7B">
        <w:t xml:space="preserve"> </w:t>
      </w:r>
      <w:r w:rsidRPr="00C12D7B">
        <w:t>instead to take the necessary time for reflection and evaluation</w:t>
      </w:r>
      <w:r w:rsidR="004733A5">
        <w:t>. We especially</w:t>
      </w:r>
      <w:r w:rsidRPr="00C12D7B">
        <w:t xml:space="preserve"> </w:t>
      </w:r>
      <w:r w:rsidR="004733A5">
        <w:t>recommend to</w:t>
      </w:r>
      <w:r w:rsidRPr="00C12D7B">
        <w:t xml:space="preserve">: </w:t>
      </w:r>
    </w:p>
    <w:p w:rsidR="00C12D7B" w:rsidRPr="00C12D7B" w:rsidRDefault="00C12D7B" w:rsidP="00C12D7B">
      <w:pPr>
        <w:pStyle w:val="Paragraphedeliste"/>
        <w:numPr>
          <w:ilvl w:val="0"/>
          <w:numId w:val="3"/>
        </w:numPr>
      </w:pPr>
      <w:r w:rsidRPr="00C12D7B">
        <w:rPr>
          <w:b/>
        </w:rPr>
        <w:t>Condition the negotiations</w:t>
      </w:r>
      <w:r w:rsidRPr="00C12D7B">
        <w:t xml:space="preserve"> to the </w:t>
      </w:r>
      <w:r w:rsidR="00DF39AF">
        <w:t>finalis</w:t>
      </w:r>
      <w:r w:rsidRPr="00C12D7B">
        <w:t>ation of the evaluation of the Association Agreements and carry out an independent (</w:t>
      </w:r>
      <w:proofErr w:type="spellStart"/>
      <w:r w:rsidRPr="00CC15D5">
        <w:rPr>
          <w:i/>
        </w:rPr>
        <w:t>ex ante</w:t>
      </w:r>
      <w:proofErr w:type="spellEnd"/>
      <w:r w:rsidRPr="00C12D7B">
        <w:t xml:space="preserve">) impact assessment of </w:t>
      </w:r>
      <w:r>
        <w:t>the DCFTA</w:t>
      </w:r>
      <w:r w:rsidRPr="00C12D7B">
        <w:t xml:space="preserve"> including the impact </w:t>
      </w:r>
      <w:r w:rsidRPr="00C12D7B">
        <w:lastRenderedPageBreak/>
        <w:t xml:space="preserve">on human rights and sustainable development, in accordance with the </w:t>
      </w:r>
      <w:r w:rsidRPr="00CC15D5">
        <w:rPr>
          <w:i/>
        </w:rPr>
        <w:t>Guiding Principles for Human Rights Impact Assessments of Trade and Investment Agreements</w:t>
      </w:r>
      <w:r w:rsidR="00CC15D5">
        <w:rPr>
          <w:rStyle w:val="Appelnotedebasdep"/>
          <w:i/>
        </w:rPr>
        <w:footnoteReference w:id="29"/>
      </w:r>
      <w:r w:rsidRPr="00C12D7B">
        <w:t xml:space="preserve">. </w:t>
      </w:r>
    </w:p>
    <w:p w:rsidR="00C12D7B" w:rsidRPr="00C12D7B" w:rsidRDefault="00C12D7B" w:rsidP="00C12D7B">
      <w:pPr>
        <w:pStyle w:val="Paragraphedeliste"/>
        <w:numPr>
          <w:ilvl w:val="0"/>
          <w:numId w:val="3"/>
        </w:numPr>
      </w:pPr>
      <w:r w:rsidRPr="00C12D7B">
        <w:t>On the basis of the results of these assessments and if an agreement is</w:t>
      </w:r>
      <w:r w:rsidR="004733A5">
        <w:t xml:space="preserve"> found</w:t>
      </w:r>
      <w:r w:rsidRPr="00C12D7B">
        <w:t xml:space="preserve"> favourable for Tunisia, </w:t>
      </w:r>
      <w:r w:rsidRPr="00C12D7B">
        <w:rPr>
          <w:b/>
        </w:rPr>
        <w:t>adopt a new negotiating mandate</w:t>
      </w:r>
      <w:r w:rsidRPr="00C12D7B">
        <w:t xml:space="preserve"> based on the alternative trade mandate</w:t>
      </w:r>
      <w:r w:rsidR="00CC15D5">
        <w:rPr>
          <w:rStyle w:val="Appelnotedebasdep"/>
        </w:rPr>
        <w:footnoteReference w:id="30"/>
      </w:r>
      <w:r w:rsidR="00DF39AF">
        <w:t>, to enable the a</w:t>
      </w:r>
      <w:r w:rsidRPr="00C12D7B">
        <w:t xml:space="preserve">greement to contribute to Tunisia's sustainable development. </w:t>
      </w:r>
    </w:p>
    <w:p w:rsidR="00C12D7B" w:rsidRPr="00C12D7B" w:rsidRDefault="00C12D7B" w:rsidP="00C12D7B">
      <w:pPr>
        <w:pStyle w:val="Paragraphedeliste"/>
        <w:numPr>
          <w:ilvl w:val="0"/>
          <w:numId w:val="3"/>
        </w:numPr>
      </w:pPr>
      <w:r w:rsidRPr="00C12D7B">
        <w:rPr>
          <w:b/>
        </w:rPr>
        <w:t>Ensure a democratic negotiating process</w:t>
      </w:r>
      <w:r w:rsidRPr="00C12D7B">
        <w:t xml:space="preserve"> that ensures both transparency of negotiations by publishing the mandate, as well as updated negotiating texts, and a genuine public debate on </w:t>
      </w:r>
      <w:r w:rsidR="00BD6EAA">
        <w:t xml:space="preserve">the </w:t>
      </w:r>
      <w:r w:rsidRPr="00C12D7B">
        <w:t>treaty</w:t>
      </w:r>
      <w:r w:rsidR="00BD6EAA">
        <w:t>’s</w:t>
      </w:r>
      <w:r w:rsidRPr="00C12D7B">
        <w:t xml:space="preserve"> issues. </w:t>
      </w:r>
    </w:p>
    <w:p w:rsidR="00C12D7B" w:rsidRPr="00C12D7B" w:rsidRDefault="00C12D7B" w:rsidP="00C12D7B">
      <w:pPr>
        <w:pStyle w:val="Paragraphedeliste"/>
        <w:numPr>
          <w:ilvl w:val="0"/>
          <w:numId w:val="3"/>
        </w:numPr>
      </w:pPr>
      <w:r w:rsidRPr="00C12D7B">
        <w:rPr>
          <w:b/>
        </w:rPr>
        <w:t>Exclude any agreement that includes an arbitration clause</w:t>
      </w:r>
      <w:r w:rsidRPr="00C12D7B">
        <w:t xml:space="preserve">. They allow foreign investors to attack signatory states for "indirect expropriation" and thus challenge the adoption of </w:t>
      </w:r>
      <w:r w:rsidR="00DF39AF">
        <w:t xml:space="preserve">new </w:t>
      </w:r>
      <w:r w:rsidRPr="00C12D7B">
        <w:t>legislation, in particular with social, environmental or health objectives consistent with the Sustainable Development Goals.</w:t>
      </w:r>
    </w:p>
    <w:p w:rsidR="00C12D7B" w:rsidRPr="00C12D7B" w:rsidRDefault="00C12D7B" w:rsidP="00C12D7B">
      <w:pPr>
        <w:pStyle w:val="Paragraphedeliste"/>
        <w:numPr>
          <w:ilvl w:val="0"/>
          <w:numId w:val="3"/>
        </w:numPr>
      </w:pPr>
      <w:r w:rsidRPr="00C12D7B">
        <w:rPr>
          <w:b/>
        </w:rPr>
        <w:t>Include a binding sustainable development chapter</w:t>
      </w:r>
      <w:r w:rsidRPr="00C12D7B">
        <w:t xml:space="preserve">, linked to a complaints and sanctions mechanism and ensuring compliance by all economic actors with the Multilateral Environmental Agreements and ILO conventions, with a view to explicitly guaranteeing the superiority of these agreements and conventions over the trade agreement. </w:t>
      </w:r>
    </w:p>
    <w:p w:rsidR="00C12D7B" w:rsidRPr="00C12D7B" w:rsidRDefault="00C12D7B" w:rsidP="00C12D7B">
      <w:pPr>
        <w:pStyle w:val="Paragraphedeliste"/>
        <w:numPr>
          <w:ilvl w:val="0"/>
          <w:numId w:val="3"/>
        </w:numPr>
      </w:pPr>
      <w:r w:rsidRPr="00CC15D5">
        <w:rPr>
          <w:b/>
        </w:rPr>
        <w:t>Do not use negative lists for services liberalisation</w:t>
      </w:r>
      <w:r w:rsidRPr="00C12D7B">
        <w:t xml:space="preserve">, but have a positive list approach if certain services are committed, as is the case at the WTO. </w:t>
      </w:r>
    </w:p>
    <w:p w:rsidR="00C12D7B" w:rsidRPr="00C12D7B" w:rsidRDefault="004733A5" w:rsidP="00C12D7B">
      <w:pPr>
        <w:pStyle w:val="Paragraphedeliste"/>
        <w:numPr>
          <w:ilvl w:val="0"/>
          <w:numId w:val="3"/>
        </w:numPr>
      </w:pPr>
      <w:r>
        <w:rPr>
          <w:b/>
        </w:rPr>
        <w:t>Ensure</w:t>
      </w:r>
      <w:r w:rsidRPr="00CC15D5">
        <w:rPr>
          <w:b/>
        </w:rPr>
        <w:t xml:space="preserve"> </w:t>
      </w:r>
      <w:r w:rsidR="00C12D7B" w:rsidRPr="00CC15D5">
        <w:rPr>
          <w:b/>
        </w:rPr>
        <w:t>that any agreement is consistent with the objective of food sovereignty</w:t>
      </w:r>
      <w:r w:rsidR="00C12D7B" w:rsidRPr="00C12D7B">
        <w:t xml:space="preserve">, which implies guaranteeing Tunisia the necessary </w:t>
      </w:r>
      <w:r w:rsidR="00DF39AF">
        <w:t xml:space="preserve">room for manoeuvre </w:t>
      </w:r>
      <w:r w:rsidR="00C12D7B" w:rsidRPr="00C12D7B">
        <w:t xml:space="preserve">to support family </w:t>
      </w:r>
      <w:r w:rsidR="0061425F">
        <w:t>farming</w:t>
      </w:r>
      <w:r w:rsidR="00C12D7B" w:rsidRPr="00C12D7B">
        <w:t xml:space="preserve"> and agro-ecological practices.  </w:t>
      </w:r>
    </w:p>
    <w:p w:rsidR="00C12D7B" w:rsidRPr="00C12D7B" w:rsidRDefault="00C12D7B" w:rsidP="00C12D7B">
      <w:pPr>
        <w:pStyle w:val="Paragraphedeliste"/>
        <w:numPr>
          <w:ilvl w:val="0"/>
          <w:numId w:val="3"/>
        </w:numPr>
      </w:pPr>
      <w:r w:rsidRPr="00CC15D5">
        <w:rPr>
          <w:b/>
        </w:rPr>
        <w:t>Avoid making the DCFTA a "WTO+" agreement</w:t>
      </w:r>
      <w:r w:rsidRPr="00C12D7B">
        <w:t xml:space="preserve">, in particular </w:t>
      </w:r>
      <w:r w:rsidR="0061425F">
        <w:t>in regard to</w:t>
      </w:r>
      <w:r w:rsidRPr="00C12D7B">
        <w:t xml:space="preserve"> intellectual property rights, in order not to hinder the achievement of universal objectives </w:t>
      </w:r>
      <w:r w:rsidR="0061425F">
        <w:t>regarding</w:t>
      </w:r>
      <w:r w:rsidRPr="00C12D7B">
        <w:t xml:space="preserve"> the right to health, to promote access to medicines and, more generally, technology transfer - in particular the green technologies needed for the ecological transition. </w:t>
      </w:r>
    </w:p>
    <w:p w:rsidR="00C12D7B" w:rsidRPr="00C12D7B" w:rsidRDefault="004733A5" w:rsidP="00C12D7B">
      <w:pPr>
        <w:pStyle w:val="Paragraphedeliste"/>
        <w:numPr>
          <w:ilvl w:val="0"/>
          <w:numId w:val="3"/>
        </w:numPr>
      </w:pPr>
      <w:r>
        <w:rPr>
          <w:b/>
        </w:rPr>
        <w:t>Ensure</w:t>
      </w:r>
      <w:r w:rsidRPr="00CC15D5">
        <w:rPr>
          <w:b/>
        </w:rPr>
        <w:t xml:space="preserve"> </w:t>
      </w:r>
      <w:r w:rsidR="00C12D7B" w:rsidRPr="00CC15D5">
        <w:rPr>
          <w:b/>
        </w:rPr>
        <w:t>special and differential treatment for Tunisia</w:t>
      </w:r>
      <w:r w:rsidR="00C12D7B" w:rsidRPr="00C12D7B">
        <w:t>, whose level of development is much lower than that of the EU.</w:t>
      </w:r>
    </w:p>
    <w:p w:rsidR="008A194B" w:rsidRPr="00C12D7B" w:rsidRDefault="00237316" w:rsidP="00994C42"/>
    <w:sectPr w:rsidR="008A194B" w:rsidRPr="00C12D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316" w:rsidRDefault="00237316" w:rsidP="00233480">
      <w:pPr>
        <w:spacing w:after="0" w:line="240" w:lineRule="auto"/>
      </w:pPr>
      <w:r>
        <w:separator/>
      </w:r>
    </w:p>
  </w:endnote>
  <w:endnote w:type="continuationSeparator" w:id="0">
    <w:p w:rsidR="00237316" w:rsidRDefault="00237316" w:rsidP="0023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316" w:rsidRDefault="00237316" w:rsidP="00233480">
      <w:pPr>
        <w:spacing w:after="0" w:line="240" w:lineRule="auto"/>
      </w:pPr>
      <w:r>
        <w:separator/>
      </w:r>
    </w:p>
  </w:footnote>
  <w:footnote w:type="continuationSeparator" w:id="0">
    <w:p w:rsidR="00237316" w:rsidRDefault="00237316" w:rsidP="00233480">
      <w:pPr>
        <w:spacing w:after="0" w:line="240" w:lineRule="auto"/>
      </w:pPr>
      <w:r>
        <w:continuationSeparator/>
      </w:r>
    </w:p>
  </w:footnote>
  <w:footnote w:id="1">
    <w:p w:rsidR="00B95516" w:rsidRPr="006E31F1" w:rsidRDefault="00B95516">
      <w:pPr>
        <w:pStyle w:val="Notedebasdepage"/>
        <w:rPr>
          <w:lang w:val="fr-BE"/>
        </w:rPr>
      </w:pPr>
      <w:r>
        <w:rPr>
          <w:rStyle w:val="Appelnotedebasdep"/>
        </w:rPr>
        <w:footnoteRef/>
      </w:r>
      <w:r w:rsidRPr="00BD6EAA">
        <w:rPr>
          <w:lang w:val="fr-FR"/>
        </w:rPr>
        <w:t xml:space="preserve"> </w:t>
      </w:r>
      <w:r w:rsidRPr="00BD6EAA">
        <w:rPr>
          <w:sz w:val="18"/>
          <w:szCs w:val="18"/>
          <w:lang w:val="fr-FR"/>
        </w:rPr>
        <w:t xml:space="preserve">Cermak, M. « Face aux révolutions arabes, le business as usual européen », CNCD-11.11.11, 15 avril 2013. </w:t>
      </w:r>
      <w:hyperlink r:id="rId1" w:history="1">
        <w:r w:rsidRPr="006E31F1">
          <w:rPr>
            <w:rStyle w:val="Hyperlink0"/>
            <w:sz w:val="18"/>
            <w:szCs w:val="18"/>
            <w:lang w:val="fr-BE"/>
          </w:rPr>
          <w:t>https://www.cncd.be/Face-aux-revolutions-arabes-le-3963</w:t>
        </w:r>
      </w:hyperlink>
    </w:p>
  </w:footnote>
  <w:footnote w:id="2">
    <w:p w:rsidR="00B95516" w:rsidRPr="00236E91" w:rsidRDefault="00B95516">
      <w:pPr>
        <w:pStyle w:val="Notedebasdepage"/>
        <w:rPr>
          <w:lang w:val="en-US"/>
        </w:rPr>
      </w:pPr>
      <w:r>
        <w:rPr>
          <w:rStyle w:val="Appelnotedebasdep"/>
        </w:rPr>
        <w:footnoteRef/>
      </w:r>
      <w:r w:rsidRPr="00BD6EAA">
        <w:rPr>
          <w:lang w:val="fr-FR"/>
        </w:rPr>
        <w:t xml:space="preserve"> </w:t>
      </w:r>
      <w:proofErr w:type="spellStart"/>
      <w:r w:rsidRPr="00BD6EAA">
        <w:rPr>
          <w:rStyle w:val="Aucun"/>
          <w:sz w:val="18"/>
          <w:szCs w:val="18"/>
          <w:lang w:val="fr-FR"/>
        </w:rPr>
        <w:t>See</w:t>
      </w:r>
      <w:proofErr w:type="spellEnd"/>
      <w:r w:rsidRPr="00BD6EAA">
        <w:rPr>
          <w:rStyle w:val="Aucun"/>
          <w:sz w:val="18"/>
          <w:szCs w:val="18"/>
          <w:lang w:val="fr-FR"/>
        </w:rPr>
        <w:t> : Janne D’</w:t>
      </w:r>
      <w:proofErr w:type="spellStart"/>
      <w:r w:rsidRPr="00BD6EAA">
        <w:rPr>
          <w:rStyle w:val="Aucun"/>
          <w:sz w:val="18"/>
          <w:szCs w:val="18"/>
          <w:lang w:val="fr-FR"/>
        </w:rPr>
        <w:t>Othée</w:t>
      </w:r>
      <w:proofErr w:type="spellEnd"/>
      <w:r w:rsidRPr="00BD6EAA">
        <w:rPr>
          <w:rStyle w:val="Aucun"/>
          <w:sz w:val="18"/>
          <w:szCs w:val="18"/>
          <w:lang w:val="fr-FR"/>
        </w:rPr>
        <w:t xml:space="preserve">, N., « Sept ans après la révolution, la Tunisie à la croisée des chemins », CNCD-11.11.11, 15 décembre 2017. </w:t>
      </w:r>
      <w:hyperlink r:id="rId2" w:history="1">
        <w:r w:rsidRPr="00236E91">
          <w:rPr>
            <w:rStyle w:val="Hyperlink1"/>
            <w:lang w:val="en-US"/>
          </w:rPr>
          <w:t>https://www.cncd.be/Sept-ans-apres-la-revolution-la</w:t>
        </w:r>
      </w:hyperlink>
    </w:p>
  </w:footnote>
  <w:footnote w:id="3">
    <w:p w:rsidR="00DB69E2" w:rsidRPr="00DB69E2" w:rsidRDefault="00DB69E2">
      <w:pPr>
        <w:pStyle w:val="Notedebasdepage"/>
        <w:rPr>
          <w:lang w:val="en-US"/>
        </w:rPr>
      </w:pPr>
      <w:r>
        <w:rPr>
          <w:rStyle w:val="Appelnotedebasdep"/>
        </w:rPr>
        <w:footnoteRef/>
      </w:r>
      <w:r w:rsidRPr="00DB69E2">
        <w:rPr>
          <w:sz w:val="18"/>
          <w:szCs w:val="18"/>
          <w:lang w:val="en-US"/>
        </w:rPr>
        <w:t xml:space="preserve"> In recent years, the EU has engaged in the negotiation of numerous bilateral agreements (with Canada, Singapore, Japan, Vietnam, Mexico, etc.) in order to overcome the current blockages at the WTO, hence the term "WTO+". This allows it to include clauses that it fails to obtain in the multilateral framework, such as greater patent protection to protect the pharmaceutical industry.</w:t>
      </w:r>
    </w:p>
  </w:footnote>
  <w:footnote w:id="4">
    <w:p w:rsidR="00DB69E2" w:rsidRPr="00BD6EAA" w:rsidRDefault="00DB69E2">
      <w:pPr>
        <w:pStyle w:val="Notedebasdepage"/>
        <w:rPr>
          <w:lang w:val="fr-FR"/>
        </w:rPr>
      </w:pPr>
      <w:r>
        <w:rPr>
          <w:rStyle w:val="Appelnotedebasdep"/>
        </w:rPr>
        <w:footnoteRef/>
      </w:r>
      <w:r w:rsidRPr="00BD6EAA">
        <w:rPr>
          <w:lang w:val="fr-FR"/>
        </w:rPr>
        <w:t xml:space="preserve"> </w:t>
      </w:r>
      <w:r w:rsidRPr="00BD6EAA">
        <w:rPr>
          <w:rStyle w:val="Aucun"/>
          <w:sz w:val="18"/>
          <w:szCs w:val="18"/>
          <w:lang w:val="fr-FR"/>
        </w:rPr>
        <w:t xml:space="preserve">Bedoui, A. &amp; Mokadem, M., </w:t>
      </w:r>
      <w:r w:rsidRPr="00BD6EAA">
        <w:rPr>
          <w:rStyle w:val="Aucun"/>
          <w:i/>
          <w:iCs/>
          <w:sz w:val="18"/>
          <w:szCs w:val="18"/>
          <w:lang w:val="fr-FR"/>
        </w:rPr>
        <w:t>Evaluation du partenariat entre l’Union européenne et la Tunisie</w:t>
      </w:r>
      <w:r w:rsidRPr="00BD6EAA">
        <w:rPr>
          <w:rStyle w:val="Aucun"/>
          <w:sz w:val="18"/>
          <w:szCs w:val="18"/>
          <w:lang w:val="fr-FR"/>
        </w:rPr>
        <w:t>, Rosa Luxembourg Stiftung, 2016.</w:t>
      </w:r>
    </w:p>
  </w:footnote>
  <w:footnote w:id="5">
    <w:p w:rsidR="00DB69E2" w:rsidRPr="00236E91" w:rsidRDefault="00DB69E2" w:rsidP="00236E91">
      <w:pPr>
        <w:pStyle w:val="Notedebasdepage"/>
        <w:rPr>
          <w:sz w:val="18"/>
          <w:szCs w:val="18"/>
          <w:lang w:val="en-US"/>
        </w:rPr>
      </w:pPr>
      <w:r>
        <w:rPr>
          <w:rStyle w:val="Appelnotedebasdep"/>
        </w:rPr>
        <w:footnoteRef/>
      </w:r>
      <w:r w:rsidRPr="00236E91">
        <w:rPr>
          <w:lang w:val="en-US"/>
        </w:rPr>
        <w:t xml:space="preserve"> </w:t>
      </w:r>
      <w:r w:rsidR="00236E91" w:rsidRPr="00236E91">
        <w:rPr>
          <w:sz w:val="18"/>
          <w:szCs w:val="18"/>
          <w:lang w:val="en-US"/>
        </w:rPr>
        <w:t xml:space="preserve">The European Commission has launched a study on the 6 Euro-Mediterranean Association Agreements (Morocco, Algeria, Tunisia, Egypt, Jordan, Lebanon), which is not expected to be concluded until 2019. Civil society has highlighted the lack of guarantees of independence and </w:t>
      </w:r>
      <w:r w:rsidR="00236E91">
        <w:rPr>
          <w:sz w:val="18"/>
          <w:szCs w:val="18"/>
          <w:lang w:val="en-US"/>
        </w:rPr>
        <w:t xml:space="preserve">of </w:t>
      </w:r>
      <w:r w:rsidR="00236E91" w:rsidRPr="00236E91">
        <w:rPr>
          <w:sz w:val="18"/>
          <w:szCs w:val="18"/>
          <w:lang w:val="en-US"/>
        </w:rPr>
        <w:t xml:space="preserve">impact on human rights and sustainable development </w:t>
      </w:r>
      <w:hyperlink r:id="rId3" w:history="1">
        <w:r w:rsidR="00236E91" w:rsidRPr="00236E91">
          <w:rPr>
            <w:rStyle w:val="Hyperlink1"/>
            <w:lang w:val="en-US"/>
          </w:rPr>
          <w:t>https://ec.europa.eu/info/law/better-regulation/initiatives/ares-2017-5657003_en</w:t>
        </w:r>
      </w:hyperlink>
      <w:r w:rsidR="00236E91">
        <w:rPr>
          <w:sz w:val="18"/>
          <w:szCs w:val="18"/>
          <w:lang w:val="en-US"/>
        </w:rPr>
        <w:t xml:space="preserve"> </w:t>
      </w:r>
      <w:r w:rsidR="00236E91" w:rsidRPr="00236E91">
        <w:rPr>
          <w:sz w:val="18"/>
          <w:szCs w:val="18"/>
          <w:lang w:val="en-US"/>
        </w:rPr>
        <w:t>The Tunisian government has also reportedly launched a study.</w:t>
      </w:r>
    </w:p>
  </w:footnote>
  <w:footnote w:id="6">
    <w:p w:rsidR="00AD331E" w:rsidRPr="00AD331E" w:rsidRDefault="00AD331E">
      <w:pPr>
        <w:pStyle w:val="Notedebasdepage"/>
        <w:rPr>
          <w:lang w:val="en-US"/>
        </w:rPr>
      </w:pPr>
      <w:r>
        <w:rPr>
          <w:rStyle w:val="Appelnotedebasdep"/>
        </w:rPr>
        <w:footnoteRef/>
      </w:r>
      <w:r w:rsidRPr="00AD331E">
        <w:rPr>
          <w:lang w:val="en-US"/>
        </w:rPr>
        <w:t xml:space="preserve"> </w:t>
      </w:r>
      <w:r w:rsidRPr="00AD331E">
        <w:rPr>
          <w:sz w:val="18"/>
          <w:szCs w:val="18"/>
          <w:lang w:val="en-US"/>
        </w:rPr>
        <w:t xml:space="preserve">Tunisia's trade deficit with the EU has improved </w:t>
      </w:r>
      <w:r>
        <w:rPr>
          <w:sz w:val="18"/>
          <w:szCs w:val="18"/>
          <w:lang w:val="en-US"/>
        </w:rPr>
        <w:t xml:space="preserve">with </w:t>
      </w:r>
      <w:r w:rsidRPr="00AD331E">
        <w:rPr>
          <w:sz w:val="18"/>
          <w:szCs w:val="18"/>
          <w:lang w:val="en-US"/>
        </w:rPr>
        <w:t>the AA thanks to the offshore regime. If we consider only the on-shore regime, Tunisia's trade deficit has worsened since the conclusion of the AA. Under this regime, companies in which more than 66% of the capital belongs to non-residents enjoy tax and customs advantages equivalent to approximately 2.3 billion Tunisian dinars per year. They did not pay taxes until 2014, when the rate was set at 10%. 80% of foreign companies operate in Tunisia under this offshore regime and in 2014 it represented 66.2% of Tunisian exports.</w:t>
      </w:r>
      <w:r>
        <w:rPr>
          <w:sz w:val="18"/>
          <w:szCs w:val="18"/>
          <w:lang w:val="en-US"/>
        </w:rPr>
        <w:t xml:space="preserve"> </w:t>
      </w:r>
      <w:proofErr w:type="spellStart"/>
      <w:r w:rsidRPr="00AD331E">
        <w:rPr>
          <w:rStyle w:val="Aucun"/>
          <w:sz w:val="18"/>
          <w:szCs w:val="18"/>
          <w:lang w:val="en-US"/>
        </w:rPr>
        <w:t>Bedoui</w:t>
      </w:r>
      <w:proofErr w:type="spellEnd"/>
      <w:r w:rsidRPr="00AD331E">
        <w:rPr>
          <w:rStyle w:val="Aucun"/>
          <w:sz w:val="18"/>
          <w:szCs w:val="18"/>
          <w:lang w:val="en-US"/>
        </w:rPr>
        <w:t xml:space="preserve">, A. &amp; </w:t>
      </w:r>
      <w:proofErr w:type="spellStart"/>
      <w:r w:rsidRPr="00AD331E">
        <w:rPr>
          <w:rStyle w:val="Aucun"/>
          <w:sz w:val="18"/>
          <w:szCs w:val="18"/>
          <w:lang w:val="en-US"/>
        </w:rPr>
        <w:t>Mokadem</w:t>
      </w:r>
      <w:proofErr w:type="spellEnd"/>
      <w:r w:rsidRPr="00AD331E">
        <w:rPr>
          <w:rStyle w:val="Aucun"/>
          <w:sz w:val="18"/>
          <w:szCs w:val="18"/>
          <w:lang w:val="en-US"/>
        </w:rPr>
        <w:t xml:space="preserve">, M., </w:t>
      </w:r>
      <w:r w:rsidRPr="00AD331E">
        <w:rPr>
          <w:rStyle w:val="Aucun"/>
          <w:i/>
          <w:iCs/>
          <w:sz w:val="18"/>
          <w:szCs w:val="18"/>
          <w:lang w:val="en-US"/>
        </w:rPr>
        <w:t>op. cit.,</w:t>
      </w:r>
      <w:r w:rsidRPr="00AD331E">
        <w:rPr>
          <w:rStyle w:val="Aucun"/>
          <w:sz w:val="18"/>
          <w:szCs w:val="18"/>
          <w:lang w:val="en-US"/>
        </w:rPr>
        <w:t xml:space="preserve"> pp. 24-</w:t>
      </w:r>
      <w:proofErr w:type="gramStart"/>
      <w:r w:rsidRPr="00AD331E">
        <w:rPr>
          <w:rStyle w:val="Aucun"/>
          <w:sz w:val="18"/>
          <w:szCs w:val="18"/>
          <w:lang w:val="en-US"/>
        </w:rPr>
        <w:t>25 ;</w:t>
      </w:r>
      <w:proofErr w:type="gramEnd"/>
      <w:r w:rsidRPr="00AD331E">
        <w:rPr>
          <w:rStyle w:val="Aucun"/>
          <w:sz w:val="18"/>
          <w:szCs w:val="18"/>
          <w:lang w:val="en-US"/>
        </w:rPr>
        <w:t xml:space="preserve"> </w:t>
      </w:r>
      <w:proofErr w:type="spellStart"/>
      <w:r w:rsidRPr="00AD331E">
        <w:rPr>
          <w:rStyle w:val="Aucun"/>
          <w:sz w:val="18"/>
          <w:szCs w:val="18"/>
          <w:lang w:val="en-US"/>
        </w:rPr>
        <w:t>Mahjoub</w:t>
      </w:r>
      <w:proofErr w:type="spellEnd"/>
      <w:r w:rsidRPr="00AD331E">
        <w:rPr>
          <w:rStyle w:val="Aucun"/>
          <w:sz w:val="18"/>
          <w:szCs w:val="18"/>
          <w:lang w:val="en-US"/>
        </w:rPr>
        <w:t xml:space="preserve">, A. &amp; </w:t>
      </w:r>
      <w:proofErr w:type="spellStart"/>
      <w:r w:rsidRPr="00AD331E">
        <w:rPr>
          <w:rStyle w:val="Aucun"/>
          <w:sz w:val="18"/>
          <w:szCs w:val="18"/>
          <w:lang w:val="en-US"/>
        </w:rPr>
        <w:t>Saadaoui</w:t>
      </w:r>
      <w:proofErr w:type="spellEnd"/>
      <w:r w:rsidRPr="00AD331E">
        <w:rPr>
          <w:rStyle w:val="Aucun"/>
          <w:sz w:val="18"/>
          <w:szCs w:val="18"/>
          <w:lang w:val="en-US"/>
        </w:rPr>
        <w:t xml:space="preserve">, Z., p. 68. </w:t>
      </w:r>
    </w:p>
  </w:footnote>
  <w:footnote w:id="7">
    <w:p w:rsidR="008A44C1" w:rsidRPr="00BD6EAA" w:rsidRDefault="008A44C1">
      <w:pPr>
        <w:pStyle w:val="Notedebasdepage"/>
        <w:rPr>
          <w:lang w:val="fr-FR"/>
        </w:rPr>
      </w:pPr>
      <w:r>
        <w:rPr>
          <w:rStyle w:val="Appelnotedebasdep"/>
        </w:rPr>
        <w:footnoteRef/>
      </w:r>
      <w:r w:rsidRPr="00BD6EAA">
        <w:rPr>
          <w:lang w:val="fr-FR"/>
        </w:rPr>
        <w:t xml:space="preserve"> </w:t>
      </w:r>
      <w:r w:rsidRPr="00BD6EAA">
        <w:rPr>
          <w:rStyle w:val="Aucun"/>
          <w:sz w:val="18"/>
          <w:szCs w:val="18"/>
          <w:lang w:val="fr-FR"/>
        </w:rPr>
        <w:t xml:space="preserve">Mahjoub, A. &amp; Saadaoui, Z., </w:t>
      </w:r>
      <w:r w:rsidRPr="00BD6EAA">
        <w:rPr>
          <w:rStyle w:val="Aucun"/>
          <w:i/>
          <w:iCs/>
          <w:sz w:val="18"/>
          <w:szCs w:val="18"/>
          <w:lang w:val="fr-FR"/>
        </w:rPr>
        <w:t>Impact de l’Accord de libre-échange complet et approfondi sur les droits économiques et sociaux en Tunisie</w:t>
      </w:r>
      <w:r w:rsidRPr="00BD6EAA">
        <w:rPr>
          <w:rStyle w:val="Aucun"/>
          <w:sz w:val="18"/>
          <w:szCs w:val="18"/>
          <w:lang w:val="fr-FR"/>
        </w:rPr>
        <w:t xml:space="preserve">, Euromedrights, mai 2015. </w:t>
      </w:r>
    </w:p>
  </w:footnote>
  <w:footnote w:id="8">
    <w:p w:rsidR="008A44C1" w:rsidRPr="00C12D7B" w:rsidRDefault="008A44C1">
      <w:pPr>
        <w:pStyle w:val="Notedebasdepage"/>
        <w:rPr>
          <w:sz w:val="18"/>
          <w:szCs w:val="18"/>
        </w:rPr>
      </w:pPr>
      <w:r>
        <w:rPr>
          <w:rStyle w:val="Appelnotedebasdep"/>
        </w:rPr>
        <w:footnoteRef/>
      </w:r>
      <w:r w:rsidRPr="00C12D7B">
        <w:t xml:space="preserve"> </w:t>
      </w:r>
      <w:r w:rsidRPr="00C12D7B">
        <w:rPr>
          <w:sz w:val="18"/>
          <w:szCs w:val="18"/>
        </w:rPr>
        <w:t xml:space="preserve">World Bank data, 2017. </w:t>
      </w:r>
    </w:p>
  </w:footnote>
  <w:footnote w:id="9">
    <w:p w:rsidR="00572D95" w:rsidRPr="00572D95" w:rsidRDefault="00572D95">
      <w:pPr>
        <w:pStyle w:val="Notedebasdepage"/>
        <w:rPr>
          <w:lang w:val="en-US"/>
        </w:rPr>
      </w:pPr>
      <w:r>
        <w:rPr>
          <w:rStyle w:val="Appelnotedebasdep"/>
        </w:rPr>
        <w:footnoteRef/>
      </w:r>
      <w:r w:rsidRPr="00572D95">
        <w:rPr>
          <w:sz w:val="18"/>
          <w:szCs w:val="18"/>
          <w:lang w:val="en-US"/>
        </w:rPr>
        <w:t xml:space="preserve"> Data from INS (National Institute of Statistics of Tunisia), 2017</w:t>
      </w:r>
      <w:r>
        <w:rPr>
          <w:sz w:val="18"/>
          <w:szCs w:val="18"/>
          <w:lang w:val="en-US"/>
        </w:rPr>
        <w:t>.</w:t>
      </w:r>
    </w:p>
  </w:footnote>
  <w:footnote w:id="10">
    <w:p w:rsidR="00572D95" w:rsidRPr="00572D95" w:rsidRDefault="00572D95">
      <w:pPr>
        <w:pStyle w:val="Notedebasdepage"/>
        <w:rPr>
          <w:lang w:val="en-US"/>
        </w:rPr>
      </w:pPr>
      <w:r>
        <w:rPr>
          <w:rStyle w:val="Appelnotedebasdep"/>
        </w:rPr>
        <w:footnoteRef/>
      </w:r>
      <w:r w:rsidRPr="00572D95">
        <w:rPr>
          <w:lang w:val="en-US"/>
        </w:rPr>
        <w:t xml:space="preserve"> </w:t>
      </w:r>
      <w:proofErr w:type="spellStart"/>
      <w:r>
        <w:rPr>
          <w:rStyle w:val="Aucun"/>
          <w:sz w:val="18"/>
          <w:szCs w:val="18"/>
          <w:lang w:val="en-US"/>
        </w:rPr>
        <w:t>Ecorys</w:t>
      </w:r>
      <w:proofErr w:type="spellEnd"/>
      <w:r>
        <w:rPr>
          <w:rStyle w:val="Aucun"/>
          <w:sz w:val="18"/>
          <w:szCs w:val="18"/>
          <w:lang w:val="en-US"/>
        </w:rPr>
        <w:t xml:space="preserve">, </w:t>
      </w:r>
      <w:r>
        <w:rPr>
          <w:rStyle w:val="Aucun"/>
          <w:i/>
          <w:iCs/>
          <w:sz w:val="18"/>
          <w:szCs w:val="18"/>
          <w:lang w:val="en-US"/>
        </w:rPr>
        <w:t>Trade Sustainability Impact Assessment in support of negotiations of a DCFTA between the EU and Tunisia,</w:t>
      </w:r>
      <w:r>
        <w:rPr>
          <w:rStyle w:val="Aucun"/>
          <w:sz w:val="18"/>
          <w:szCs w:val="18"/>
          <w:lang w:val="en-US"/>
        </w:rPr>
        <w:t xml:space="preserve"> Study commissioned by the Directorate General for Trade of the European Commission, November 2013, p. 136.</w:t>
      </w:r>
    </w:p>
  </w:footnote>
  <w:footnote w:id="11">
    <w:p w:rsidR="00572D95" w:rsidRDefault="00572D95">
      <w:pPr>
        <w:pStyle w:val="Notedebasdepage"/>
      </w:pPr>
      <w:r w:rsidRPr="00572D95">
        <w:rPr>
          <w:rStyle w:val="Appelnotedebasdep"/>
        </w:rPr>
        <w:footnoteRef/>
      </w:r>
      <w:r w:rsidRPr="00572D95">
        <w:t xml:space="preserve"> </w:t>
      </w:r>
      <w:r w:rsidRPr="00572D95">
        <w:rPr>
          <w:i/>
          <w:sz w:val="18"/>
          <w:szCs w:val="18"/>
          <w:lang w:val="en-US"/>
        </w:rPr>
        <w:t>Ibid,</w:t>
      </w:r>
      <w:r w:rsidRPr="00572D95">
        <w:rPr>
          <w:sz w:val="18"/>
          <w:szCs w:val="18"/>
          <w:lang w:val="en-US"/>
        </w:rPr>
        <w:t xml:space="preserve"> pp. 33-34.</w:t>
      </w:r>
      <w:r>
        <w:rPr>
          <w:sz w:val="18"/>
          <w:szCs w:val="18"/>
          <w:lang w:val="en-US"/>
        </w:rPr>
        <w:t xml:space="preserve"> </w:t>
      </w:r>
    </w:p>
  </w:footnote>
  <w:footnote w:id="12">
    <w:p w:rsidR="00572D95" w:rsidRPr="00572D95" w:rsidRDefault="00572D95">
      <w:pPr>
        <w:pStyle w:val="Notedebasdepage"/>
      </w:pPr>
      <w:r>
        <w:rPr>
          <w:rStyle w:val="Appelnotedebasdep"/>
        </w:rPr>
        <w:footnoteRef/>
      </w:r>
      <w:r>
        <w:t xml:space="preserve"> </w:t>
      </w:r>
      <w:proofErr w:type="spellStart"/>
      <w:r w:rsidRPr="00572D95">
        <w:rPr>
          <w:rStyle w:val="Aucun"/>
          <w:sz w:val="18"/>
          <w:szCs w:val="18"/>
        </w:rPr>
        <w:t>Mahjoub</w:t>
      </w:r>
      <w:proofErr w:type="spellEnd"/>
      <w:r w:rsidRPr="00572D95">
        <w:rPr>
          <w:rStyle w:val="Aucun"/>
          <w:sz w:val="18"/>
          <w:szCs w:val="18"/>
        </w:rPr>
        <w:t xml:space="preserve">, A. &amp; </w:t>
      </w:r>
      <w:proofErr w:type="spellStart"/>
      <w:r w:rsidRPr="00572D95">
        <w:rPr>
          <w:rStyle w:val="Aucun"/>
          <w:sz w:val="18"/>
          <w:szCs w:val="18"/>
        </w:rPr>
        <w:t>Saadaoui</w:t>
      </w:r>
      <w:proofErr w:type="spellEnd"/>
      <w:r w:rsidRPr="00572D95">
        <w:rPr>
          <w:rStyle w:val="Aucun"/>
          <w:sz w:val="18"/>
          <w:szCs w:val="18"/>
        </w:rPr>
        <w:t>, Z., op. cit., pp. 27-30.</w:t>
      </w:r>
      <w:r>
        <w:rPr>
          <w:rStyle w:val="Aucun"/>
          <w:sz w:val="18"/>
          <w:szCs w:val="18"/>
        </w:rPr>
        <w:t xml:space="preserve"> </w:t>
      </w:r>
    </w:p>
  </w:footnote>
  <w:footnote w:id="13">
    <w:p w:rsidR="00572D95" w:rsidRPr="00BD6EAA" w:rsidRDefault="00572D95">
      <w:pPr>
        <w:pStyle w:val="Notedebasdepage"/>
        <w:rPr>
          <w:lang w:val="fr-FR"/>
        </w:rPr>
      </w:pPr>
      <w:r>
        <w:rPr>
          <w:rStyle w:val="Appelnotedebasdep"/>
        </w:rPr>
        <w:footnoteRef/>
      </w:r>
      <w:r w:rsidRPr="00BD6EAA">
        <w:rPr>
          <w:lang w:val="fr-FR"/>
        </w:rPr>
        <w:t xml:space="preserve"> </w:t>
      </w:r>
      <w:r w:rsidRPr="00BD6EAA">
        <w:rPr>
          <w:sz w:val="18"/>
          <w:szCs w:val="18"/>
          <w:lang w:val="fr-FR"/>
        </w:rPr>
        <w:t xml:space="preserve">Video of the European Neighbourhood Program for Agriculture and Rural Development-ENPARD, L'essentiel sur l'étude de l'impact ALECA sur la filière des Agrumes en Tunisie, </w:t>
      </w:r>
      <w:hyperlink r:id="rId4" w:history="1">
        <w:r w:rsidRPr="00BD6EAA">
          <w:rPr>
            <w:rStyle w:val="Lienhypertexte"/>
            <w:sz w:val="18"/>
            <w:szCs w:val="18"/>
            <w:lang w:val="fr-FR"/>
          </w:rPr>
          <w:t>https://www.youtube.com/watch?v=lzF4dcq0Er8</w:t>
        </w:r>
      </w:hyperlink>
      <w:r w:rsidRPr="00BD6EAA">
        <w:rPr>
          <w:sz w:val="18"/>
          <w:szCs w:val="18"/>
          <w:lang w:val="fr-FR"/>
        </w:rPr>
        <w:t xml:space="preserve"> </w:t>
      </w:r>
    </w:p>
  </w:footnote>
  <w:footnote w:id="14">
    <w:p w:rsidR="00572D95" w:rsidRPr="00F94858" w:rsidRDefault="00572D95">
      <w:pPr>
        <w:pStyle w:val="Notedebasdepage"/>
        <w:rPr>
          <w:lang w:val="en-US"/>
        </w:rPr>
      </w:pPr>
      <w:r>
        <w:rPr>
          <w:rStyle w:val="Appelnotedebasdep"/>
        </w:rPr>
        <w:footnoteRef/>
      </w:r>
      <w:r w:rsidRPr="00572D95">
        <w:rPr>
          <w:lang w:val="en-US"/>
        </w:rPr>
        <w:t xml:space="preserve"> </w:t>
      </w:r>
      <w:proofErr w:type="spellStart"/>
      <w:r>
        <w:rPr>
          <w:rStyle w:val="Aucun"/>
          <w:sz w:val="18"/>
          <w:szCs w:val="18"/>
          <w:lang w:val="en-US"/>
        </w:rPr>
        <w:t>Ecorys</w:t>
      </w:r>
      <w:proofErr w:type="spellEnd"/>
      <w:r>
        <w:rPr>
          <w:rStyle w:val="Aucun"/>
          <w:sz w:val="18"/>
          <w:szCs w:val="18"/>
          <w:lang w:val="en-US"/>
        </w:rPr>
        <w:t xml:space="preserve">, </w:t>
      </w:r>
      <w:r>
        <w:rPr>
          <w:rStyle w:val="Aucun"/>
          <w:i/>
          <w:iCs/>
          <w:sz w:val="18"/>
          <w:szCs w:val="18"/>
          <w:lang w:val="en-US"/>
        </w:rPr>
        <w:t>Trade Sustainability Impact Assessment in support of negotiations of a DCFTA between the EU and Tunisia,</w:t>
      </w:r>
      <w:r>
        <w:rPr>
          <w:rStyle w:val="Aucun"/>
          <w:sz w:val="18"/>
          <w:szCs w:val="18"/>
          <w:lang w:val="en-US"/>
        </w:rPr>
        <w:t xml:space="preserve"> Study commissioned by the Directorate General for Trade of the European Commission, November 2013, pp. 33-34.</w:t>
      </w:r>
    </w:p>
  </w:footnote>
  <w:footnote w:id="15">
    <w:p w:rsidR="00F94858" w:rsidRPr="00F94858" w:rsidRDefault="00F94858">
      <w:pPr>
        <w:pStyle w:val="Notedebasdepage"/>
        <w:rPr>
          <w:lang w:val="en-US"/>
        </w:rPr>
      </w:pPr>
      <w:r>
        <w:rPr>
          <w:rStyle w:val="Appelnotedebasdep"/>
        </w:rPr>
        <w:footnoteRef/>
      </w:r>
      <w:r w:rsidRPr="00F94858">
        <w:rPr>
          <w:lang w:val="en-US"/>
        </w:rPr>
        <w:t xml:space="preserve"> </w:t>
      </w:r>
      <w:r w:rsidRPr="00F94858">
        <w:rPr>
          <w:sz w:val="18"/>
          <w:szCs w:val="18"/>
          <w:lang w:val="en-US"/>
        </w:rPr>
        <w:t xml:space="preserve">Fact Sheet "The EU proposal on services, investment and electronic </w:t>
      </w:r>
      <w:r>
        <w:rPr>
          <w:sz w:val="18"/>
          <w:szCs w:val="18"/>
          <w:lang w:val="en-US"/>
        </w:rPr>
        <w:t>trade</w:t>
      </w:r>
      <w:r w:rsidRPr="00F94858">
        <w:rPr>
          <w:sz w:val="18"/>
          <w:szCs w:val="18"/>
          <w:lang w:val="en-US"/>
        </w:rPr>
        <w:t>", European Commission, April 2016. http://trade.ec.europa.eu/doclib/docs/2016/april/tradoc_154500.pdf</w:t>
      </w:r>
    </w:p>
  </w:footnote>
  <w:footnote w:id="16">
    <w:p w:rsidR="00F94858" w:rsidRPr="00BD6EAA" w:rsidRDefault="00F94858">
      <w:pPr>
        <w:pStyle w:val="Notedebasdepage"/>
        <w:rPr>
          <w:lang w:val="fr-FR"/>
        </w:rPr>
      </w:pPr>
      <w:r>
        <w:rPr>
          <w:rStyle w:val="Appelnotedebasdep"/>
        </w:rPr>
        <w:footnoteRef/>
      </w:r>
      <w:r w:rsidRPr="00BD6EAA">
        <w:rPr>
          <w:lang w:val="fr-FR"/>
        </w:rPr>
        <w:t xml:space="preserve"> </w:t>
      </w:r>
      <w:r w:rsidRPr="00BD6EAA">
        <w:rPr>
          <w:rStyle w:val="Aucun"/>
          <w:sz w:val="18"/>
          <w:szCs w:val="18"/>
          <w:lang w:val="fr-FR"/>
        </w:rPr>
        <w:t xml:space="preserve">Mahjoub et Saadaoui, op. cit., pp. 44-47. </w:t>
      </w:r>
    </w:p>
  </w:footnote>
  <w:footnote w:id="17">
    <w:p w:rsidR="00F94858" w:rsidRPr="00BD6EAA" w:rsidRDefault="00F94858">
      <w:pPr>
        <w:pStyle w:val="Notedebasdepage"/>
        <w:rPr>
          <w:lang w:val="fr-FR"/>
        </w:rPr>
      </w:pPr>
      <w:r>
        <w:rPr>
          <w:rStyle w:val="Appelnotedebasdep"/>
        </w:rPr>
        <w:footnoteRef/>
      </w:r>
      <w:r w:rsidRPr="00BD6EAA">
        <w:rPr>
          <w:lang w:val="fr-FR"/>
        </w:rPr>
        <w:t xml:space="preserve"> </w:t>
      </w:r>
      <w:r w:rsidRPr="00BD6EAA">
        <w:rPr>
          <w:rStyle w:val="Aucun"/>
          <w:sz w:val="18"/>
          <w:szCs w:val="18"/>
          <w:lang w:val="fr-FR"/>
        </w:rPr>
        <w:t xml:space="preserve">Ecorys, </w:t>
      </w:r>
      <w:r w:rsidRPr="00BD6EAA">
        <w:rPr>
          <w:rStyle w:val="Aucun"/>
          <w:i/>
          <w:iCs/>
          <w:sz w:val="18"/>
          <w:szCs w:val="18"/>
          <w:lang w:val="fr-FR"/>
        </w:rPr>
        <w:t>Evaluation de l’impact commercial durable en support des négociations pour un Accord de Libre-échange Complet et Approfondi entre l’Union Européenne et la Tunisie. Résumé analytique du rapport Technique Intérimaire</w:t>
      </w:r>
      <w:r w:rsidRPr="00BD6EAA">
        <w:rPr>
          <w:rStyle w:val="Aucun"/>
          <w:sz w:val="18"/>
          <w:szCs w:val="18"/>
          <w:lang w:val="fr-FR"/>
        </w:rPr>
        <w:t xml:space="preserve">, étude effectuée pour la DG Commerce (Commission européenne), mai 2013, p. 6. </w:t>
      </w:r>
    </w:p>
  </w:footnote>
  <w:footnote w:id="18">
    <w:p w:rsidR="00F94858" w:rsidRPr="00BD6EAA" w:rsidRDefault="00F94858">
      <w:pPr>
        <w:pStyle w:val="Notedebasdepage"/>
        <w:rPr>
          <w:lang w:val="fr-FR"/>
        </w:rPr>
      </w:pPr>
      <w:r>
        <w:rPr>
          <w:rStyle w:val="Appelnotedebasdep"/>
        </w:rPr>
        <w:footnoteRef/>
      </w:r>
      <w:r w:rsidRPr="00BD6EAA">
        <w:rPr>
          <w:lang w:val="fr-FR"/>
        </w:rPr>
        <w:t xml:space="preserve"> </w:t>
      </w:r>
      <w:r w:rsidRPr="00BD6EAA">
        <w:rPr>
          <w:sz w:val="18"/>
          <w:szCs w:val="18"/>
          <w:lang w:val="fr-FR"/>
        </w:rPr>
        <w:t>See</w:t>
      </w:r>
      <w:r w:rsidRPr="00BD6EAA">
        <w:rPr>
          <w:lang w:val="fr-FR"/>
        </w:rPr>
        <w:t xml:space="preserve"> </w:t>
      </w:r>
      <w:r w:rsidRPr="00BD6EAA">
        <w:rPr>
          <w:rStyle w:val="Aucun"/>
          <w:sz w:val="18"/>
          <w:szCs w:val="18"/>
          <w:lang w:val="fr-FR"/>
        </w:rPr>
        <w:t xml:space="preserve">FTDES, « Négociations UE- Tunisie : libérer les échanges sans échanger les libertés ? », 8 mai 2018 </w:t>
      </w:r>
      <w:hyperlink r:id="rId5" w:history="1">
        <w:r w:rsidRPr="00BD6EAA">
          <w:rPr>
            <w:rStyle w:val="Hyperlink1"/>
            <w:lang w:val="fr-FR"/>
          </w:rPr>
          <w:t>https://ftdes.net/fr/ue-tunisie/</w:t>
        </w:r>
      </w:hyperlink>
      <w:r w:rsidRPr="00BD6EAA">
        <w:rPr>
          <w:rStyle w:val="Hyperlink1"/>
          <w:lang w:val="fr-FR"/>
        </w:rPr>
        <w:t xml:space="preserve">. </w:t>
      </w:r>
    </w:p>
  </w:footnote>
  <w:footnote w:id="19">
    <w:p w:rsidR="00F94858" w:rsidRPr="00BD6EAA" w:rsidRDefault="00F94858">
      <w:pPr>
        <w:pStyle w:val="Notedebasdepage"/>
        <w:rPr>
          <w:sz w:val="18"/>
          <w:szCs w:val="18"/>
          <w:lang w:val="fr-FR"/>
        </w:rPr>
      </w:pPr>
      <w:r>
        <w:rPr>
          <w:rStyle w:val="Appelnotedebasdep"/>
        </w:rPr>
        <w:footnoteRef/>
      </w:r>
      <w:r w:rsidRPr="00BD6EAA">
        <w:rPr>
          <w:lang w:val="fr-FR"/>
        </w:rPr>
        <w:t xml:space="preserve"> </w:t>
      </w:r>
      <w:r w:rsidRPr="00BD6EAA">
        <w:rPr>
          <w:rStyle w:val="Aucun"/>
          <w:sz w:val="18"/>
          <w:szCs w:val="18"/>
          <w:lang w:val="fr-FR"/>
        </w:rPr>
        <w:t>ALECA, Proposition de la partie européenne (avril 2016), « Commerce des services, investissement et commerce électronique », Article 7 « Prescription de résultats », pp. 7-9.</w:t>
      </w:r>
    </w:p>
  </w:footnote>
  <w:footnote w:id="20">
    <w:p w:rsidR="00F94858" w:rsidRPr="00F94858" w:rsidRDefault="00F94858">
      <w:pPr>
        <w:pStyle w:val="Notedebasdepage"/>
        <w:rPr>
          <w:lang w:val="en-US"/>
        </w:rPr>
      </w:pPr>
      <w:r>
        <w:rPr>
          <w:rStyle w:val="Appelnotedebasdep"/>
        </w:rPr>
        <w:footnoteRef/>
      </w:r>
      <w:r w:rsidRPr="00F94858">
        <w:rPr>
          <w:lang w:val="en-US"/>
        </w:rPr>
        <w:t xml:space="preserve"> </w:t>
      </w:r>
      <w:r w:rsidRPr="00F94858">
        <w:rPr>
          <w:sz w:val="18"/>
          <w:szCs w:val="18"/>
          <w:lang w:val="en-US"/>
        </w:rPr>
        <w:t>While this provision is not yet included in the text made public in 2016, it is systematically included in the EU's new free trade agreements. Section II of the chapter on investment, "Investment protection", indicates that a text will be proposed at a later stage.</w:t>
      </w:r>
      <w:r>
        <w:rPr>
          <w:sz w:val="18"/>
          <w:szCs w:val="18"/>
          <w:lang w:val="en-US"/>
        </w:rPr>
        <w:t xml:space="preserve"> </w:t>
      </w:r>
    </w:p>
  </w:footnote>
  <w:footnote w:id="21">
    <w:p w:rsidR="00F94858" w:rsidRDefault="00F94858">
      <w:pPr>
        <w:pStyle w:val="Notedebasdepage"/>
      </w:pPr>
      <w:r>
        <w:rPr>
          <w:rStyle w:val="Appelnotedebasdep"/>
        </w:rPr>
        <w:footnoteRef/>
      </w:r>
      <w:r w:rsidRPr="00F94858">
        <w:rPr>
          <w:lang w:val="en-US"/>
        </w:rPr>
        <w:t xml:space="preserve"> </w:t>
      </w:r>
      <w:r>
        <w:rPr>
          <w:rStyle w:val="Aucun"/>
          <w:sz w:val="18"/>
          <w:szCs w:val="18"/>
          <w:lang w:val="en-US"/>
        </w:rPr>
        <w:t xml:space="preserve">“EU Commission tends to split up trade deals”, </w:t>
      </w:r>
      <w:proofErr w:type="spellStart"/>
      <w:r>
        <w:rPr>
          <w:rStyle w:val="Aucun"/>
          <w:sz w:val="18"/>
          <w:szCs w:val="18"/>
          <w:lang w:val="en-US"/>
        </w:rPr>
        <w:t>Euranet</w:t>
      </w:r>
      <w:proofErr w:type="spellEnd"/>
      <w:r>
        <w:rPr>
          <w:rStyle w:val="Aucun"/>
          <w:sz w:val="18"/>
          <w:szCs w:val="18"/>
          <w:lang w:val="en-US"/>
        </w:rPr>
        <w:t xml:space="preserve">, 23 </w:t>
      </w:r>
      <w:proofErr w:type="spellStart"/>
      <w:r>
        <w:rPr>
          <w:rStyle w:val="Aucun"/>
          <w:sz w:val="18"/>
          <w:szCs w:val="18"/>
          <w:lang w:val="en-US"/>
        </w:rPr>
        <w:t>avril</w:t>
      </w:r>
      <w:proofErr w:type="spellEnd"/>
      <w:r>
        <w:rPr>
          <w:rStyle w:val="Aucun"/>
          <w:sz w:val="18"/>
          <w:szCs w:val="18"/>
          <w:lang w:val="en-US"/>
        </w:rPr>
        <w:t xml:space="preserve"> 2018. </w:t>
      </w:r>
      <w:hyperlink r:id="rId6" w:history="1">
        <w:r w:rsidRPr="00BD6EAA">
          <w:rPr>
            <w:rStyle w:val="Hyperlink2"/>
            <w:lang w:val="en-GB"/>
          </w:rPr>
          <w:t>http://euranetplus-inside.eu/eu-commission-tends-to-split-up-trade-deals/</w:t>
        </w:r>
      </w:hyperlink>
    </w:p>
  </w:footnote>
  <w:footnote w:id="22">
    <w:p w:rsidR="00F94858" w:rsidRPr="00F94858" w:rsidRDefault="00F94858">
      <w:pPr>
        <w:pStyle w:val="Notedebasdepage"/>
        <w:rPr>
          <w:lang w:val="en-US"/>
        </w:rPr>
      </w:pPr>
      <w:r>
        <w:rPr>
          <w:rStyle w:val="Appelnotedebasdep"/>
        </w:rPr>
        <w:footnoteRef/>
      </w:r>
      <w:r w:rsidRPr="00F94858">
        <w:rPr>
          <w:lang w:val="en-US"/>
        </w:rPr>
        <w:t xml:space="preserve"> </w:t>
      </w:r>
      <w:r w:rsidRPr="00F94858">
        <w:rPr>
          <w:sz w:val="18"/>
          <w:szCs w:val="18"/>
          <w:lang w:val="en-US"/>
        </w:rPr>
        <w:t>Comprehensive Economic and Trade Agreement (CETA) negotiated between the EU and Canada.</w:t>
      </w:r>
    </w:p>
  </w:footnote>
  <w:footnote w:id="23">
    <w:p w:rsidR="00F94858" w:rsidRPr="00F94858" w:rsidRDefault="00F94858">
      <w:pPr>
        <w:pStyle w:val="Notedebasdepage"/>
        <w:rPr>
          <w:lang w:val="en-US"/>
        </w:rPr>
      </w:pPr>
      <w:r>
        <w:rPr>
          <w:rStyle w:val="Appelnotedebasdep"/>
        </w:rPr>
        <w:footnoteRef/>
      </w:r>
      <w:r w:rsidRPr="00F94858">
        <w:rPr>
          <w:lang w:val="en-US"/>
        </w:rPr>
        <w:t xml:space="preserve"> </w:t>
      </w:r>
      <w:r w:rsidRPr="00F94858">
        <w:rPr>
          <w:sz w:val="18"/>
          <w:szCs w:val="18"/>
          <w:lang w:val="en-US"/>
        </w:rPr>
        <w:t>Transatlantic Trade and Investment Partnership (TTIP) negotiated between the EU and the US.</w:t>
      </w:r>
    </w:p>
  </w:footnote>
  <w:footnote w:id="24">
    <w:p w:rsidR="00E835CA" w:rsidRPr="00E835CA" w:rsidRDefault="00E835CA">
      <w:pPr>
        <w:pStyle w:val="Notedebasdepage"/>
        <w:rPr>
          <w:lang w:val="en-US"/>
        </w:rPr>
      </w:pPr>
      <w:r>
        <w:rPr>
          <w:rStyle w:val="Appelnotedebasdep"/>
        </w:rPr>
        <w:footnoteRef/>
      </w:r>
      <w:r w:rsidRPr="00E835CA">
        <w:rPr>
          <w:lang w:val="en-US"/>
        </w:rPr>
        <w:t xml:space="preserve"> </w:t>
      </w:r>
      <w:r w:rsidRPr="00E835CA">
        <w:rPr>
          <w:sz w:val="18"/>
          <w:szCs w:val="18"/>
          <w:lang w:val="en-US"/>
        </w:rPr>
        <w:t xml:space="preserve">See for example </w:t>
      </w:r>
      <w:r w:rsidRPr="00E835CA">
        <w:rPr>
          <w:rStyle w:val="Aucun"/>
          <w:sz w:val="18"/>
          <w:szCs w:val="18"/>
          <w:lang w:val="en-US"/>
        </w:rPr>
        <w:t>T</w:t>
      </w:r>
      <w:r w:rsidRPr="00E835CA">
        <w:rPr>
          <w:sz w:val="18"/>
          <w:szCs w:val="18"/>
          <w:lang w:val="en-US"/>
        </w:rPr>
        <w:t>homas Fritz,</w:t>
      </w:r>
      <w:r w:rsidRPr="00E835CA">
        <w:rPr>
          <w:rStyle w:val="Aucun"/>
          <w:sz w:val="18"/>
          <w:szCs w:val="18"/>
          <w:lang w:val="en-US"/>
        </w:rPr>
        <w:t> </w:t>
      </w:r>
      <w:r w:rsidRPr="00E835CA">
        <w:rPr>
          <w:rStyle w:val="Aucun"/>
          <w:i/>
          <w:iCs/>
          <w:sz w:val="18"/>
          <w:szCs w:val="18"/>
          <w:lang w:val="en-US"/>
        </w:rPr>
        <w:t>International Investment Agreements Under Scrutiny</w:t>
      </w:r>
      <w:r w:rsidRPr="00E835CA">
        <w:rPr>
          <w:rStyle w:val="Aucun"/>
          <w:sz w:val="18"/>
          <w:szCs w:val="18"/>
          <w:lang w:val="en-US"/>
        </w:rPr>
        <w:t xml:space="preserve">, </w:t>
      </w:r>
      <w:proofErr w:type="spellStart"/>
      <w:r w:rsidRPr="00E835CA">
        <w:rPr>
          <w:rStyle w:val="Aucun"/>
          <w:sz w:val="18"/>
          <w:szCs w:val="18"/>
          <w:lang w:val="en-US"/>
        </w:rPr>
        <w:t>Traidcraft</w:t>
      </w:r>
      <w:proofErr w:type="spellEnd"/>
      <w:r w:rsidRPr="00E835CA">
        <w:rPr>
          <w:rStyle w:val="Aucun"/>
          <w:sz w:val="18"/>
          <w:szCs w:val="18"/>
          <w:lang w:val="en-US"/>
        </w:rPr>
        <w:t>, 2015 pp. 14-18 https://www.tni.org/files/download/iias_report_feb_2015.pdf</w:t>
      </w:r>
    </w:p>
  </w:footnote>
  <w:footnote w:id="25">
    <w:p w:rsidR="00E835CA" w:rsidRPr="00C12D7B" w:rsidRDefault="00E835CA">
      <w:pPr>
        <w:pStyle w:val="Notedebasdepage"/>
      </w:pPr>
      <w:r>
        <w:rPr>
          <w:rStyle w:val="Appelnotedebasdep"/>
        </w:rPr>
        <w:footnoteRef/>
      </w:r>
      <w:r w:rsidRPr="00E835CA">
        <w:rPr>
          <w:lang w:val="en-US"/>
        </w:rPr>
        <w:t xml:space="preserve"> </w:t>
      </w:r>
      <w:r w:rsidRPr="00E835CA">
        <w:rPr>
          <w:sz w:val="18"/>
          <w:szCs w:val="18"/>
          <w:lang w:val="en-US"/>
        </w:rPr>
        <w:t xml:space="preserve">Latin American countries have paid $20.6 billion to investors since 1996. </w:t>
      </w:r>
      <w:r w:rsidRPr="00C12D7B">
        <w:rPr>
          <w:sz w:val="18"/>
          <w:szCs w:val="18"/>
        </w:rPr>
        <w:t>See Transnational Institute, ISDS in numbers, 2017.</w:t>
      </w:r>
    </w:p>
  </w:footnote>
  <w:footnote w:id="26">
    <w:p w:rsidR="00E835CA" w:rsidRPr="00E835CA" w:rsidRDefault="00E835CA">
      <w:pPr>
        <w:pStyle w:val="Notedebasdepage"/>
        <w:rPr>
          <w:lang w:val="en-US"/>
        </w:rPr>
      </w:pPr>
      <w:r>
        <w:rPr>
          <w:rStyle w:val="Appelnotedebasdep"/>
        </w:rPr>
        <w:footnoteRef/>
      </w:r>
      <w:r w:rsidRPr="00E835CA">
        <w:rPr>
          <w:lang w:val="en-US"/>
        </w:rPr>
        <w:t xml:space="preserve"> </w:t>
      </w:r>
      <w:r w:rsidRPr="00E835CA">
        <w:rPr>
          <w:sz w:val="18"/>
          <w:szCs w:val="18"/>
          <w:lang w:val="en-US"/>
        </w:rPr>
        <w:t>TRIPS refers to the WTO agreements on trade-related aspects of intellectual property rights. Here, the proposal aims to go beyond the commitments made by Tunisia in these agreements, in the sense of greater IPR protection (extension of patents on new medicines, lower requirements for patentability criteria, less "flexibility" for public authorities, introduction of research data protection).</w:t>
      </w:r>
    </w:p>
  </w:footnote>
  <w:footnote w:id="27">
    <w:p w:rsidR="00E835CA" w:rsidRPr="00BD6EAA" w:rsidRDefault="00E835CA">
      <w:pPr>
        <w:pStyle w:val="Notedebasdepage"/>
        <w:rPr>
          <w:lang w:val="fr-FR"/>
        </w:rPr>
      </w:pPr>
      <w:r>
        <w:rPr>
          <w:rStyle w:val="Appelnotedebasdep"/>
        </w:rPr>
        <w:footnoteRef/>
      </w:r>
      <w:r w:rsidRPr="00BD6EAA">
        <w:rPr>
          <w:lang w:val="fr-FR"/>
        </w:rPr>
        <w:t xml:space="preserve"> </w:t>
      </w:r>
      <w:r w:rsidRPr="00BD6EAA">
        <w:rPr>
          <w:rStyle w:val="Aucun"/>
          <w:sz w:val="18"/>
          <w:szCs w:val="18"/>
          <w:lang w:val="fr-FR"/>
        </w:rPr>
        <w:t xml:space="preserve">See International Treatment and Preparedness Coalition, </w:t>
      </w:r>
      <w:r w:rsidRPr="00BD6EAA">
        <w:rPr>
          <w:rStyle w:val="Aucun"/>
          <w:i/>
          <w:iCs/>
          <w:sz w:val="18"/>
          <w:szCs w:val="18"/>
          <w:lang w:val="fr-FR"/>
        </w:rPr>
        <w:t>Évaluation du cadre légal en matière de propriété intellectuelle et impact sur l’accès aux médicaments (Egypte, Maroc, Tunisie),</w:t>
      </w:r>
      <w:r w:rsidRPr="00BD6EAA">
        <w:rPr>
          <w:rStyle w:val="Aucun"/>
          <w:sz w:val="18"/>
          <w:szCs w:val="18"/>
          <w:lang w:val="fr-FR"/>
        </w:rPr>
        <w:t xml:space="preserve"> Septembre 2017.</w:t>
      </w:r>
    </w:p>
  </w:footnote>
  <w:footnote w:id="28">
    <w:p w:rsidR="007C05EC" w:rsidRPr="007C05EC" w:rsidRDefault="007C05EC">
      <w:pPr>
        <w:pStyle w:val="Notedebasdepage"/>
        <w:rPr>
          <w:lang w:val="en-US"/>
        </w:rPr>
      </w:pPr>
      <w:r>
        <w:rPr>
          <w:rStyle w:val="Appelnotedebasdep"/>
        </w:rPr>
        <w:footnoteRef/>
      </w:r>
      <w:r w:rsidRPr="007C05EC">
        <w:rPr>
          <w:sz w:val="18"/>
          <w:szCs w:val="18"/>
          <w:lang w:val="en-US"/>
        </w:rPr>
        <w:t xml:space="preserve"> As any international treaty, the ALECA will have to be in conformity with the Tunisian Constitution, it is therefore necessary that the Constitutional Court be established to confirm it.</w:t>
      </w:r>
    </w:p>
  </w:footnote>
  <w:footnote w:id="29">
    <w:p w:rsidR="00CC15D5" w:rsidRPr="00CC15D5" w:rsidRDefault="00CC15D5">
      <w:pPr>
        <w:pStyle w:val="Notedebasdepage"/>
        <w:rPr>
          <w:sz w:val="18"/>
          <w:szCs w:val="18"/>
          <w:lang w:val="en-US"/>
        </w:rPr>
      </w:pPr>
      <w:r>
        <w:rPr>
          <w:rStyle w:val="Appelnotedebasdep"/>
        </w:rPr>
        <w:footnoteRef/>
      </w:r>
      <w:r>
        <w:t xml:space="preserve"> </w:t>
      </w:r>
      <w:r w:rsidRPr="00CC15D5">
        <w:rPr>
          <w:sz w:val="18"/>
          <w:szCs w:val="18"/>
        </w:rPr>
        <w:t>"Guiding Principles on Human Rights Impact Assessments of Trade and Investment Agreements”, Report presented at the 19th Session of the Unit</w:t>
      </w:r>
      <w:r>
        <w:rPr>
          <w:sz w:val="18"/>
          <w:szCs w:val="18"/>
        </w:rPr>
        <w:t xml:space="preserve">ed Nations Human Rights Council by Olivier De </w:t>
      </w:r>
      <w:proofErr w:type="spellStart"/>
      <w:r>
        <w:rPr>
          <w:sz w:val="18"/>
          <w:szCs w:val="18"/>
        </w:rPr>
        <w:t>Schutter</w:t>
      </w:r>
      <w:proofErr w:type="spellEnd"/>
      <w:r>
        <w:rPr>
          <w:sz w:val="18"/>
          <w:szCs w:val="18"/>
        </w:rPr>
        <w:t xml:space="preserve">, Special Rapporteur on the Right to food, 19 December 2011 </w:t>
      </w:r>
      <w:hyperlink r:id="rId7" w:history="1">
        <w:r w:rsidRPr="00374A35">
          <w:rPr>
            <w:rStyle w:val="Lienhypertexte"/>
            <w:sz w:val="18"/>
            <w:szCs w:val="18"/>
          </w:rPr>
          <w:t>http://www.srfood.org/images/stories/pdf/officialreports/20120306_hria_en.pdf</w:t>
        </w:r>
      </w:hyperlink>
      <w:r>
        <w:rPr>
          <w:sz w:val="18"/>
          <w:szCs w:val="18"/>
        </w:rPr>
        <w:t xml:space="preserve"> </w:t>
      </w:r>
    </w:p>
  </w:footnote>
  <w:footnote w:id="30">
    <w:p w:rsidR="00CC15D5" w:rsidRPr="007C47AB" w:rsidRDefault="00CC15D5" w:rsidP="00CC15D5">
      <w:pPr>
        <w:pStyle w:val="Notedebasdepage"/>
        <w:rPr>
          <w:sz w:val="18"/>
          <w:szCs w:val="18"/>
        </w:rPr>
      </w:pPr>
      <w:r>
        <w:rPr>
          <w:rStyle w:val="Appelnotedebasdep"/>
        </w:rPr>
        <w:footnoteRef/>
      </w:r>
      <w:r>
        <w:t xml:space="preserve"> </w:t>
      </w:r>
      <w:r w:rsidRPr="007C47AB">
        <w:rPr>
          <w:sz w:val="18"/>
          <w:szCs w:val="18"/>
        </w:rPr>
        <w:t xml:space="preserve">The alternative Trade Mandate, </w:t>
      </w:r>
      <w:r w:rsidRPr="007C47AB">
        <w:rPr>
          <w:i/>
          <w:sz w:val="18"/>
          <w:szCs w:val="18"/>
        </w:rPr>
        <w:t>Trade: time for a new vision</w:t>
      </w:r>
      <w:r w:rsidRPr="007C47AB">
        <w:rPr>
          <w:sz w:val="18"/>
          <w:szCs w:val="18"/>
        </w:rPr>
        <w:t xml:space="preserve">, </w:t>
      </w:r>
      <w:hyperlink r:id="rId8" w:history="1">
        <w:r w:rsidRPr="007C47AB">
          <w:rPr>
            <w:rStyle w:val="Lienhypertexte"/>
            <w:sz w:val="18"/>
            <w:szCs w:val="18"/>
          </w:rPr>
          <w:t>https://corporateeurope.org/sites/default/files/trade-time_for_a_new_vision-print.pdf</w:t>
        </w:r>
      </w:hyperlink>
      <w:r w:rsidRPr="007C47AB">
        <w:rPr>
          <w:sz w:val="18"/>
          <w:szCs w:val="18"/>
        </w:rPr>
        <w:t xml:space="preserve"> </w:t>
      </w:r>
    </w:p>
    <w:p w:rsidR="00CC15D5" w:rsidRPr="00CC15D5" w:rsidRDefault="00CC15D5">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45E77"/>
    <w:multiLevelType w:val="hybridMultilevel"/>
    <w:tmpl w:val="928ED7F6"/>
    <w:lvl w:ilvl="0" w:tplc="503A1F24">
      <w:numFmt w:val="bullet"/>
      <w:lvlText w:val="-"/>
      <w:lvlJc w:val="left"/>
      <w:pPr>
        <w:ind w:left="720" w:hanging="360"/>
      </w:pPr>
      <w:rPr>
        <w:rFonts w:ascii="Liberation Serif" w:eastAsia="SimSun" w:hAnsi="Liberation Serif" w:cs="Liberation 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D0E2098"/>
    <w:multiLevelType w:val="hybridMultilevel"/>
    <w:tmpl w:val="4ABEBB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18D1834"/>
    <w:multiLevelType w:val="hybridMultilevel"/>
    <w:tmpl w:val="6A62D204"/>
    <w:lvl w:ilvl="0" w:tplc="503A1F24">
      <w:numFmt w:val="bullet"/>
      <w:lvlText w:val="-"/>
      <w:lvlJc w:val="left"/>
      <w:pPr>
        <w:ind w:left="720" w:hanging="360"/>
      </w:pPr>
      <w:rPr>
        <w:rFonts w:ascii="Liberation Serif" w:eastAsia="SimSun" w:hAnsi="Liberation Serif" w:cs="Liberation 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BF"/>
    <w:rsid w:val="000078A2"/>
    <w:rsid w:val="00087D51"/>
    <w:rsid w:val="000B67CF"/>
    <w:rsid w:val="0012130B"/>
    <w:rsid w:val="002169BF"/>
    <w:rsid w:val="00233480"/>
    <w:rsid w:val="00236E91"/>
    <w:rsid w:val="00237316"/>
    <w:rsid w:val="00282D3B"/>
    <w:rsid w:val="003E1792"/>
    <w:rsid w:val="003E21F6"/>
    <w:rsid w:val="00403135"/>
    <w:rsid w:val="004152DD"/>
    <w:rsid w:val="004177F6"/>
    <w:rsid w:val="004733A5"/>
    <w:rsid w:val="004A2F94"/>
    <w:rsid w:val="0050639C"/>
    <w:rsid w:val="005124B9"/>
    <w:rsid w:val="00572D95"/>
    <w:rsid w:val="00583A17"/>
    <w:rsid w:val="005F7EFD"/>
    <w:rsid w:val="0061425F"/>
    <w:rsid w:val="006810D6"/>
    <w:rsid w:val="006E16BF"/>
    <w:rsid w:val="006E31F1"/>
    <w:rsid w:val="006E733C"/>
    <w:rsid w:val="007C05EC"/>
    <w:rsid w:val="008218A0"/>
    <w:rsid w:val="008A44C1"/>
    <w:rsid w:val="008C6654"/>
    <w:rsid w:val="00994C42"/>
    <w:rsid w:val="00A53D5C"/>
    <w:rsid w:val="00AD331E"/>
    <w:rsid w:val="00AE01F7"/>
    <w:rsid w:val="00B22282"/>
    <w:rsid w:val="00B25E9C"/>
    <w:rsid w:val="00B95516"/>
    <w:rsid w:val="00BB340F"/>
    <w:rsid w:val="00BC7381"/>
    <w:rsid w:val="00BD6EAA"/>
    <w:rsid w:val="00BF285D"/>
    <w:rsid w:val="00C12D7B"/>
    <w:rsid w:val="00C9630C"/>
    <w:rsid w:val="00CA4336"/>
    <w:rsid w:val="00CB46B7"/>
    <w:rsid w:val="00CC15D5"/>
    <w:rsid w:val="00D805E2"/>
    <w:rsid w:val="00DB69E2"/>
    <w:rsid w:val="00DE705C"/>
    <w:rsid w:val="00DF39AF"/>
    <w:rsid w:val="00E1160A"/>
    <w:rsid w:val="00E15B3D"/>
    <w:rsid w:val="00E835CA"/>
    <w:rsid w:val="00E84CC5"/>
    <w:rsid w:val="00F944B7"/>
    <w:rsid w:val="00F94858"/>
    <w:rsid w:val="00FF5C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2ACEF-3D78-422F-A92C-8E0DD3F2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D3B"/>
    <w:pPr>
      <w:jc w:val="both"/>
    </w:pPr>
    <w:rPr>
      <w:lang w:val="en-GB"/>
    </w:rPr>
  </w:style>
  <w:style w:type="paragraph" w:styleId="Titre1">
    <w:name w:val="heading 1"/>
    <w:basedOn w:val="Normal"/>
    <w:next w:val="Normal"/>
    <w:link w:val="Titre1Car"/>
    <w:uiPriority w:val="9"/>
    <w:qFormat/>
    <w:rsid w:val="00CB46B7"/>
    <w:pPr>
      <w:keepNext/>
      <w:keepLines/>
      <w:spacing w:before="240" w:after="0"/>
      <w:outlineLvl w:val="0"/>
    </w:pPr>
    <w:rPr>
      <w:rFonts w:asciiTheme="majorHAnsi" w:eastAsiaTheme="majorEastAsia" w:hAnsiTheme="majorHAnsi" w:cstheme="majorBidi"/>
      <w:b/>
      <w:color w:val="5CA038"/>
      <w:sz w:val="32"/>
      <w:szCs w:val="32"/>
    </w:rPr>
  </w:style>
  <w:style w:type="paragraph" w:styleId="Titre2">
    <w:name w:val="heading 2"/>
    <w:basedOn w:val="Normal"/>
    <w:next w:val="Normal"/>
    <w:link w:val="Titre2Car"/>
    <w:uiPriority w:val="9"/>
    <w:unhideWhenUsed/>
    <w:qFormat/>
    <w:rsid w:val="00CB46B7"/>
    <w:pPr>
      <w:keepNext/>
      <w:keepLines/>
      <w:spacing w:before="40" w:after="0"/>
      <w:outlineLvl w:val="1"/>
    </w:pPr>
    <w:rPr>
      <w:rFonts w:asciiTheme="majorHAnsi" w:eastAsiaTheme="majorEastAsia" w:hAnsiTheme="majorHAnsi" w:cstheme="majorBidi"/>
      <w:color w:val="5CA038"/>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46B7"/>
    <w:rPr>
      <w:rFonts w:asciiTheme="majorHAnsi" w:eastAsiaTheme="majorEastAsia" w:hAnsiTheme="majorHAnsi" w:cstheme="majorBidi"/>
      <w:b/>
      <w:color w:val="5CA038"/>
      <w:sz w:val="32"/>
      <w:szCs w:val="32"/>
    </w:rPr>
  </w:style>
  <w:style w:type="character" w:customStyle="1" w:styleId="Titre2Car">
    <w:name w:val="Titre 2 Car"/>
    <w:basedOn w:val="Policepardfaut"/>
    <w:link w:val="Titre2"/>
    <w:uiPriority w:val="9"/>
    <w:rsid w:val="00CB46B7"/>
    <w:rPr>
      <w:rFonts w:asciiTheme="majorHAnsi" w:eastAsiaTheme="majorEastAsia" w:hAnsiTheme="majorHAnsi" w:cstheme="majorBidi"/>
      <w:color w:val="5CA038"/>
      <w:sz w:val="26"/>
      <w:szCs w:val="26"/>
    </w:rPr>
  </w:style>
  <w:style w:type="paragraph" w:styleId="Paragraphedeliste">
    <w:name w:val="List Paragraph"/>
    <w:basedOn w:val="Normal"/>
    <w:uiPriority w:val="34"/>
    <w:qFormat/>
    <w:rsid w:val="00233480"/>
    <w:pPr>
      <w:ind w:left="720"/>
      <w:contextualSpacing/>
    </w:pPr>
  </w:style>
  <w:style w:type="paragraph" w:styleId="Titre">
    <w:name w:val="Title"/>
    <w:basedOn w:val="Normal"/>
    <w:next w:val="Normal"/>
    <w:link w:val="TitreCar"/>
    <w:uiPriority w:val="10"/>
    <w:qFormat/>
    <w:rsid w:val="00233480"/>
    <w:pPr>
      <w:spacing w:after="0" w:line="240" w:lineRule="auto"/>
      <w:contextualSpacing/>
    </w:pPr>
    <w:rPr>
      <w:rFonts w:asciiTheme="majorHAnsi" w:eastAsiaTheme="majorEastAsia" w:hAnsiTheme="majorHAnsi" w:cstheme="majorBidi"/>
      <w:color w:val="5CA038"/>
      <w:spacing w:val="-10"/>
      <w:kern w:val="28"/>
      <w:sz w:val="56"/>
      <w:szCs w:val="56"/>
    </w:rPr>
  </w:style>
  <w:style w:type="character" w:customStyle="1" w:styleId="TitreCar">
    <w:name w:val="Titre Car"/>
    <w:basedOn w:val="Policepardfaut"/>
    <w:link w:val="Titre"/>
    <w:uiPriority w:val="10"/>
    <w:rsid w:val="00233480"/>
    <w:rPr>
      <w:rFonts w:asciiTheme="majorHAnsi" w:eastAsiaTheme="majorEastAsia" w:hAnsiTheme="majorHAnsi" w:cstheme="majorBidi"/>
      <w:color w:val="5CA038"/>
      <w:spacing w:val="-10"/>
      <w:kern w:val="28"/>
      <w:sz w:val="56"/>
      <w:szCs w:val="56"/>
    </w:rPr>
  </w:style>
  <w:style w:type="paragraph" w:styleId="Notedebasdepage">
    <w:name w:val="footnote text"/>
    <w:basedOn w:val="Normal"/>
    <w:link w:val="NotedebasdepageCar"/>
    <w:unhideWhenUsed/>
    <w:rsid w:val="00B9551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5516"/>
    <w:rPr>
      <w:sz w:val="20"/>
      <w:szCs w:val="20"/>
    </w:rPr>
  </w:style>
  <w:style w:type="character" w:styleId="Appelnotedebasdep">
    <w:name w:val="footnote reference"/>
    <w:basedOn w:val="Policepardfaut"/>
    <w:uiPriority w:val="99"/>
    <w:semiHidden/>
    <w:unhideWhenUsed/>
    <w:rsid w:val="00B95516"/>
    <w:rPr>
      <w:vertAlign w:val="superscript"/>
    </w:rPr>
  </w:style>
  <w:style w:type="character" w:customStyle="1" w:styleId="Hyperlink0">
    <w:name w:val="Hyperlink.0"/>
    <w:rsid w:val="00B95516"/>
    <w:rPr>
      <w:color w:val="0563C1"/>
      <w:u w:val="single" w:color="0563C1"/>
    </w:rPr>
  </w:style>
  <w:style w:type="character" w:customStyle="1" w:styleId="Aucun">
    <w:name w:val="Aucun"/>
    <w:rsid w:val="00B95516"/>
  </w:style>
  <w:style w:type="character" w:customStyle="1" w:styleId="Hyperlink1">
    <w:name w:val="Hyperlink.1"/>
    <w:rsid w:val="00B95516"/>
    <w:rPr>
      <w:color w:val="0563C1"/>
      <w:sz w:val="18"/>
      <w:szCs w:val="18"/>
      <w:u w:val="single" w:color="0563C1"/>
    </w:rPr>
  </w:style>
  <w:style w:type="character" w:styleId="Lienhypertexte">
    <w:name w:val="Hyperlink"/>
    <w:basedOn w:val="Policepardfaut"/>
    <w:uiPriority w:val="99"/>
    <w:unhideWhenUsed/>
    <w:rsid w:val="00572D95"/>
    <w:rPr>
      <w:color w:val="0563C1" w:themeColor="hyperlink"/>
      <w:u w:val="single"/>
    </w:rPr>
  </w:style>
  <w:style w:type="character" w:customStyle="1" w:styleId="Hyperlink2">
    <w:name w:val="Hyperlink.2"/>
    <w:rsid w:val="00F94858"/>
    <w:rPr>
      <w:color w:val="0563C1"/>
      <w:sz w:val="18"/>
      <w:szCs w:val="18"/>
      <w:u w:val="single" w:color="0563C1"/>
      <w:lang w:val="en-US"/>
    </w:rPr>
  </w:style>
  <w:style w:type="paragraph" w:styleId="Textedebulles">
    <w:name w:val="Balloon Text"/>
    <w:basedOn w:val="Normal"/>
    <w:link w:val="TextedebullesCar"/>
    <w:uiPriority w:val="99"/>
    <w:semiHidden/>
    <w:unhideWhenUsed/>
    <w:rsid w:val="00E116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1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rporateeurope.org/sites/default/files/trade-time_for_a_new_vision-print.pdf" TargetMode="External"/><Relationship Id="rId3" Type="http://schemas.openxmlformats.org/officeDocument/2006/relationships/hyperlink" Target="https://ec.europa.eu/info/law/better-regulation/initiatives/ares-2017-5657003_en" TargetMode="External"/><Relationship Id="rId7" Type="http://schemas.openxmlformats.org/officeDocument/2006/relationships/hyperlink" Target="http://www.srfood.org/images/stories/pdf/officialreports/20120306_hria_en.pdf" TargetMode="External"/><Relationship Id="rId2" Type="http://schemas.openxmlformats.org/officeDocument/2006/relationships/hyperlink" Target="https://www.cncd.be/Sept-ans-apres-la-revolution-la" TargetMode="External"/><Relationship Id="rId1" Type="http://schemas.openxmlformats.org/officeDocument/2006/relationships/hyperlink" Target="https://www.cncd.be/Face-aux-revolutions-arabes-le-3963" TargetMode="External"/><Relationship Id="rId6" Type="http://schemas.openxmlformats.org/officeDocument/2006/relationships/hyperlink" Target="http://euranetplus-inside.eu/eu-commission-tends-to-split-up-trade-deals/" TargetMode="External"/><Relationship Id="rId5" Type="http://schemas.openxmlformats.org/officeDocument/2006/relationships/hyperlink" Target="https://ftdes.net/fr/ue-tunisie/" TargetMode="External"/><Relationship Id="rId4" Type="http://schemas.openxmlformats.org/officeDocument/2006/relationships/hyperlink" Target="https://www.youtube.com/watch?v=lzF4dcq0Er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6D6D1-0B64-4B81-818D-EE4A4C24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1895</Words>
  <Characters>10424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Janne</dc:creator>
  <cp:keywords/>
  <dc:description/>
  <cp:lastModifiedBy>Nathalie Janne</cp:lastModifiedBy>
  <cp:revision>2</cp:revision>
  <dcterms:created xsi:type="dcterms:W3CDTF">2018-05-24T14:38:00Z</dcterms:created>
  <dcterms:modified xsi:type="dcterms:W3CDTF">2018-05-24T14:38:00Z</dcterms:modified>
</cp:coreProperties>
</file>